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7A0817">
        <w:rPr>
          <w:rFonts w:ascii="Times New Roman" w:hAnsi="Times New Roman"/>
          <w:sz w:val="24"/>
        </w:rPr>
        <w:tab/>
        <w:t>R4-1815587</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CC4146" w:rsidRPr="00CC4146">
        <w:rPr>
          <w:rFonts w:ascii="Arial" w:hAnsi="Arial" w:cs="Arial"/>
          <w:sz w:val="24"/>
          <w:lang w:val="en-US" w:eastAsia="zh-CN"/>
        </w:rPr>
        <w:t>Dual SMTC requirements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C4146">
        <w:rPr>
          <w:rFonts w:ascii="Arial" w:hAnsi="Arial" w:cs="Arial"/>
          <w:sz w:val="24"/>
          <w:lang w:val="en-US" w:eastAsia="zh-CN"/>
        </w:rPr>
        <w:t>6.11.3.2.2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Default="0019182B" w:rsidP="0019182B">
      <w:pPr>
        <w:tabs>
          <w:tab w:val="left" w:pos="920"/>
        </w:tabs>
      </w:pPr>
      <w:r>
        <w:t xml:space="preserve">The RRM requirements with dual SMTC configuration have been discussed for many meetings in RAN4. The latest way forward is 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19182B" w:rsidTr="00261048">
        <w:tc>
          <w:tcPr>
            <w:tcW w:w="10763" w:type="dxa"/>
            <w:shd w:val="clear" w:color="auto" w:fill="auto"/>
          </w:tcPr>
          <w:p w:rsidR="0019182B" w:rsidRPr="00261048" w:rsidRDefault="0019182B" w:rsidP="00261048">
            <w:pPr>
              <w:tabs>
                <w:tab w:val="left" w:pos="920"/>
              </w:tabs>
              <w:ind w:left="720"/>
              <w:rPr>
                <w:b/>
              </w:rPr>
            </w:pPr>
            <w:r w:rsidRPr="00261048">
              <w:rPr>
                <w:b/>
              </w:rPr>
              <w:t>Background</w:t>
            </w:r>
          </w:p>
          <w:p w:rsidR="00261048" w:rsidRPr="0019182B" w:rsidRDefault="00261048" w:rsidP="00261048">
            <w:pPr>
              <w:numPr>
                <w:ilvl w:val="0"/>
                <w:numId w:val="24"/>
              </w:numPr>
              <w:tabs>
                <w:tab w:val="left" w:pos="920"/>
              </w:tabs>
            </w:pPr>
            <w:r w:rsidRPr="00261048">
              <w:rPr>
                <w:lang w:val="en-US"/>
              </w:rPr>
              <w:t>For intra-frequency measurement objects, dual SMTC periodicities may be configured</w:t>
            </w:r>
          </w:p>
          <w:p w:rsidR="00261048" w:rsidRPr="0019182B" w:rsidRDefault="00261048" w:rsidP="00261048">
            <w:pPr>
              <w:numPr>
                <w:ilvl w:val="0"/>
                <w:numId w:val="24"/>
              </w:numPr>
              <w:tabs>
                <w:tab w:val="left" w:pos="920"/>
                <w:tab w:val="num" w:pos="1440"/>
              </w:tabs>
            </w:pPr>
            <w:r w:rsidRPr="00261048">
              <w:rPr>
                <w:lang w:val="en-US"/>
              </w:rPr>
              <w:t>SMTC2 for cells with explicitly listed physical cell ID(PCI)</w:t>
            </w:r>
          </w:p>
          <w:p w:rsidR="00261048" w:rsidRPr="0019182B" w:rsidRDefault="00261048" w:rsidP="00261048">
            <w:pPr>
              <w:numPr>
                <w:ilvl w:val="0"/>
                <w:numId w:val="24"/>
              </w:numPr>
              <w:tabs>
                <w:tab w:val="left" w:pos="920"/>
                <w:tab w:val="num" w:pos="1440"/>
              </w:tabs>
            </w:pPr>
            <w:r w:rsidRPr="00261048">
              <w:rPr>
                <w:lang w:val="en-US"/>
              </w:rPr>
              <w:t>SMTC1 for cells without explicitly listed  PCI</w:t>
            </w:r>
          </w:p>
          <w:p w:rsidR="00261048" w:rsidRPr="0019182B" w:rsidRDefault="00261048" w:rsidP="00261048">
            <w:pPr>
              <w:numPr>
                <w:ilvl w:val="0"/>
                <w:numId w:val="24"/>
              </w:numPr>
              <w:tabs>
                <w:tab w:val="left" w:pos="920"/>
              </w:tabs>
            </w:pPr>
            <w:r w:rsidRPr="00261048">
              <w:rPr>
                <w:lang w:val="en-US"/>
              </w:rPr>
              <w:t>SMTC2 period &lt; SMTC 1 period</w:t>
            </w:r>
          </w:p>
          <w:p w:rsidR="00261048" w:rsidRPr="0019182B" w:rsidRDefault="00261048" w:rsidP="00261048">
            <w:pPr>
              <w:numPr>
                <w:ilvl w:val="0"/>
                <w:numId w:val="24"/>
              </w:numPr>
              <w:tabs>
                <w:tab w:val="left" w:pos="920"/>
              </w:tabs>
            </w:pPr>
            <w:r w:rsidRPr="00261048">
              <w:rPr>
                <w:lang w:val="en-US"/>
              </w:rPr>
              <w:t>Inter-frequency measurement objects are always configured with a single SMTC periodicity</w:t>
            </w:r>
          </w:p>
          <w:p w:rsidR="00261048" w:rsidRPr="0019182B" w:rsidRDefault="00261048" w:rsidP="00261048">
            <w:pPr>
              <w:numPr>
                <w:ilvl w:val="0"/>
                <w:numId w:val="24"/>
              </w:numPr>
              <w:tabs>
                <w:tab w:val="left" w:pos="920"/>
              </w:tabs>
            </w:pPr>
            <w:r w:rsidRPr="00261048">
              <w:rPr>
                <w:lang w:val="en-US"/>
              </w:rPr>
              <w:t>RAN4 needs to investigate the impact on requirements</w:t>
            </w:r>
          </w:p>
          <w:p w:rsidR="0019182B" w:rsidRPr="00261048" w:rsidRDefault="0019182B" w:rsidP="00261048">
            <w:pPr>
              <w:tabs>
                <w:tab w:val="left" w:pos="920"/>
              </w:tabs>
              <w:ind w:left="720"/>
              <w:rPr>
                <w:b/>
              </w:rPr>
            </w:pPr>
            <w:r w:rsidRPr="00261048">
              <w:rPr>
                <w:b/>
              </w:rPr>
              <w:t>Way forward</w:t>
            </w:r>
          </w:p>
          <w:p w:rsidR="00261048" w:rsidRPr="0019182B" w:rsidRDefault="00261048" w:rsidP="00261048">
            <w:pPr>
              <w:numPr>
                <w:ilvl w:val="0"/>
                <w:numId w:val="24"/>
              </w:numPr>
              <w:tabs>
                <w:tab w:val="left" w:pos="920"/>
              </w:tabs>
            </w:pPr>
            <w:r w:rsidRPr="0019182B">
              <w:t>In RAN4#88bis, the focus shall be on completing work assuming single intra-frequency SMTC for scaling factors for requirements for</w:t>
            </w:r>
          </w:p>
          <w:p w:rsidR="00261048" w:rsidRPr="0019182B" w:rsidRDefault="00261048" w:rsidP="00261048">
            <w:pPr>
              <w:numPr>
                <w:ilvl w:val="0"/>
                <w:numId w:val="24"/>
              </w:numPr>
              <w:tabs>
                <w:tab w:val="left" w:pos="920"/>
                <w:tab w:val="num" w:pos="1440"/>
              </w:tabs>
            </w:pPr>
            <w:r w:rsidRPr="0019182B">
              <w:t xml:space="preserve"> measurement objects measured within gaps (eg CSSFwithin_gap,i ) including measurement gap sharing with inter-frequency/interRAT measurement objects</w:t>
            </w:r>
          </w:p>
          <w:p w:rsidR="00261048" w:rsidRPr="0019182B" w:rsidRDefault="00261048" w:rsidP="00261048">
            <w:pPr>
              <w:numPr>
                <w:ilvl w:val="0"/>
                <w:numId w:val="24"/>
              </w:numPr>
              <w:tabs>
                <w:tab w:val="left" w:pos="920"/>
                <w:tab w:val="num" w:pos="1440"/>
              </w:tabs>
            </w:pPr>
            <w:r w:rsidRPr="0019182B">
              <w:t>Intra frequency Measurement objects measured outside gaps (eg CSSFoutside_gap,i)  including measurements with one or more Scells.</w:t>
            </w:r>
          </w:p>
          <w:p w:rsidR="00261048" w:rsidRPr="0019182B" w:rsidRDefault="00261048" w:rsidP="00261048">
            <w:pPr>
              <w:numPr>
                <w:ilvl w:val="0"/>
                <w:numId w:val="24"/>
              </w:numPr>
              <w:tabs>
                <w:tab w:val="left" w:pos="920"/>
              </w:tabs>
            </w:pPr>
            <w:r w:rsidRPr="0019182B">
              <w:t>For RAN4#89, companies are invited to provide input on how the agreements for single SMTC may be extended to cover the case of dual intra-frequency SMTC.</w:t>
            </w:r>
          </w:p>
          <w:p w:rsidR="00261048" w:rsidRPr="0019182B" w:rsidRDefault="00261048" w:rsidP="00261048">
            <w:pPr>
              <w:numPr>
                <w:ilvl w:val="0"/>
                <w:numId w:val="24"/>
              </w:numPr>
              <w:tabs>
                <w:tab w:val="left" w:pos="920"/>
              </w:tabs>
            </w:pPr>
            <w:r w:rsidRPr="0019182B">
              <w:t>Four scenarios are provided for further evaluation. Investigation of other scenarios is not precluded</w:t>
            </w:r>
          </w:p>
          <w:p w:rsidR="0019182B" w:rsidRPr="00261048" w:rsidRDefault="0019182B" w:rsidP="00261048">
            <w:pPr>
              <w:tabs>
                <w:tab w:val="left" w:pos="920"/>
              </w:tabs>
              <w:ind w:left="720"/>
              <w:rPr>
                <w:b/>
              </w:rPr>
            </w:pPr>
            <w:r w:rsidRPr="00261048">
              <w:rPr>
                <w:b/>
              </w:rPr>
              <w:t>Scenarios for evaluation of dual SMTC</w:t>
            </w:r>
          </w:p>
          <w:p w:rsidR="00261048" w:rsidRPr="0019182B" w:rsidRDefault="00261048" w:rsidP="00261048">
            <w:pPr>
              <w:numPr>
                <w:ilvl w:val="0"/>
                <w:numId w:val="24"/>
              </w:numPr>
              <w:tabs>
                <w:tab w:val="left" w:pos="920"/>
              </w:tabs>
            </w:pPr>
            <w:r w:rsidRPr="0019182B">
              <w:t>Scenario 1 : UE performs type A/B measurement with dual SMTC completely outside of measurement gap pattern (eg no measurement gaps are configured)</w:t>
            </w:r>
          </w:p>
          <w:p w:rsidR="00261048" w:rsidRPr="0019182B" w:rsidRDefault="00261048" w:rsidP="00261048">
            <w:pPr>
              <w:numPr>
                <w:ilvl w:val="0"/>
                <w:numId w:val="24"/>
              </w:numPr>
              <w:tabs>
                <w:tab w:val="left" w:pos="920"/>
              </w:tabs>
            </w:pPr>
            <w:r w:rsidRPr="0019182B">
              <w:t>Scenario 2 : Measurement gaps are configured such that the gaps are fully overlapping with type A/B measurement for both SMTC1 and SMTC2</w:t>
            </w:r>
          </w:p>
          <w:p w:rsidR="00261048" w:rsidRPr="0019182B" w:rsidRDefault="00261048" w:rsidP="00261048">
            <w:pPr>
              <w:numPr>
                <w:ilvl w:val="0"/>
                <w:numId w:val="24"/>
              </w:numPr>
              <w:tabs>
                <w:tab w:val="left" w:pos="920"/>
              </w:tabs>
            </w:pPr>
            <w:r w:rsidRPr="0019182B">
              <w:t>Scenario 3 : Measurement gaps are configured such that they are fully overlapping with SMTC1 and partially overlapping with SMTC2</w:t>
            </w:r>
          </w:p>
          <w:p w:rsidR="00261048" w:rsidRPr="0019182B" w:rsidRDefault="00261048" w:rsidP="00261048">
            <w:pPr>
              <w:numPr>
                <w:ilvl w:val="0"/>
                <w:numId w:val="24"/>
              </w:numPr>
              <w:tabs>
                <w:tab w:val="left" w:pos="920"/>
              </w:tabs>
            </w:pPr>
            <w:r w:rsidRPr="0019182B">
              <w:t>Scenario 4 : Type C measurement is configured with dual SMTC. Other type D measurements may also be configured.</w:t>
            </w:r>
          </w:p>
          <w:p w:rsidR="0019182B" w:rsidRDefault="0019182B" w:rsidP="00261048">
            <w:pPr>
              <w:tabs>
                <w:tab w:val="left" w:pos="920"/>
              </w:tabs>
            </w:pPr>
          </w:p>
        </w:tc>
      </w:tr>
    </w:tbl>
    <w:p w:rsidR="0019182B" w:rsidRPr="002B1082" w:rsidRDefault="0019182B" w:rsidP="0019182B">
      <w:pPr>
        <w:tabs>
          <w:tab w:val="left" w:pos="920"/>
        </w:tabs>
      </w:pPr>
    </w:p>
    <w:p w:rsidR="005813AA" w:rsidRDefault="005813AA" w:rsidP="005813AA">
      <w:pPr>
        <w:pStyle w:val="Heading1"/>
        <w:jc w:val="both"/>
        <w:rPr>
          <w:rFonts w:eastAsia="SimSun"/>
          <w:lang w:val="en-US" w:eastAsia="zh-CN"/>
        </w:rPr>
      </w:pPr>
      <w:r>
        <w:rPr>
          <w:rFonts w:eastAsia="SimSun"/>
          <w:lang w:val="en-US" w:eastAsia="zh-CN"/>
        </w:rPr>
        <w:lastRenderedPageBreak/>
        <w:t>Discussion</w:t>
      </w:r>
    </w:p>
    <w:p w:rsidR="002B1082" w:rsidRDefault="0019182B" w:rsidP="002B1082">
      <w:pPr>
        <w:rPr>
          <w:lang w:val="en-US" w:eastAsia="zh-CN"/>
        </w:rPr>
      </w:pPr>
      <w:r>
        <w:rPr>
          <w:lang w:val="en-US" w:eastAsia="zh-CN"/>
        </w:rPr>
        <w:t xml:space="preserve">As discussed previously, it takes significant effort for the network to implement dual SMTC since planning is needed to decide which cell ID should use the shorter SMTC periodicity (SMTC2), the network needs to provide the additional SSB on the cells configured with SMTC and an explicit PCI list needs to be signaled to the UE. Therefore, our view is that dual SMTC will not be implemented by networks unless </w:t>
      </w:r>
    </w:p>
    <w:p w:rsidR="0019182B" w:rsidRDefault="0019182B" w:rsidP="0019182B">
      <w:pPr>
        <w:numPr>
          <w:ilvl w:val="0"/>
          <w:numId w:val="27"/>
        </w:numPr>
        <w:rPr>
          <w:lang w:val="en-US" w:eastAsia="zh-CN"/>
        </w:rPr>
      </w:pPr>
      <w:r>
        <w:rPr>
          <w:lang w:val="en-US" w:eastAsia="zh-CN"/>
        </w:rPr>
        <w:t>It can be expected that the UEs meet improved minimum RRM requirements for the cells making use of SMTC2 compared with the cells using SMTC1</w:t>
      </w:r>
    </w:p>
    <w:p w:rsidR="0019182B" w:rsidRDefault="0019182B" w:rsidP="0019182B">
      <w:pPr>
        <w:numPr>
          <w:ilvl w:val="0"/>
          <w:numId w:val="27"/>
        </w:numPr>
        <w:rPr>
          <w:lang w:val="en-US" w:eastAsia="zh-CN"/>
        </w:rPr>
      </w:pPr>
      <w:r>
        <w:rPr>
          <w:lang w:val="en-US" w:eastAsia="zh-CN"/>
        </w:rPr>
        <w:t>The network is able to reduce the SSB overhead in cells where the enhanced performance is not needed, and SMTC1 is used</w:t>
      </w:r>
    </w:p>
    <w:p w:rsidR="001D1316" w:rsidRDefault="001D1316" w:rsidP="0019182B">
      <w:pPr>
        <w:rPr>
          <w:lang w:val="en-US" w:eastAsia="zh-CN"/>
        </w:rPr>
      </w:pPr>
      <w:r>
        <w:rPr>
          <w:lang w:val="en-US" w:eastAsia="zh-CN"/>
        </w:rPr>
        <w:t>These considerations mean that any solution involving the UE assuming a single SMTC in all scenarios is unlikely to be useful to the network; it would be better just to configure a single SMTC with the assumed periodicity and avoid any uncertainty associated with configuring dual SMTC. In other words, given the effort involved in configuring the dual SMTC feature, it also needs to come with some expected benefits.</w:t>
      </w:r>
    </w:p>
    <w:p w:rsidR="001D1316" w:rsidRDefault="001D1316" w:rsidP="0019182B">
      <w:pPr>
        <w:rPr>
          <w:b/>
          <w:lang w:val="en-US" w:eastAsia="zh-CN"/>
        </w:rPr>
      </w:pPr>
      <w:r>
        <w:rPr>
          <w:b/>
          <w:lang w:val="en-US" w:eastAsia="zh-CN"/>
        </w:rPr>
        <w:t>Observation 1: Dual SMTC takes additional effort to configure and should provide benefit over configuring a single SMTC with the same numeric value as either SMTC1 or SMTC2</w:t>
      </w:r>
    </w:p>
    <w:p w:rsidR="001D1316" w:rsidRDefault="00CC4146" w:rsidP="0019182B">
      <w:pPr>
        <w:rPr>
          <w:lang w:val="en-US" w:eastAsia="zh-CN"/>
        </w:rPr>
      </w:pPr>
      <w:r>
        <w:rPr>
          <w:lang w:val="en-US" w:eastAsia="zh-CN"/>
        </w:rPr>
        <w:t>Next,</w:t>
      </w:r>
      <w:r w:rsidR="001D1316">
        <w:rPr>
          <w:lang w:val="en-US" w:eastAsia="zh-CN"/>
        </w:rPr>
        <w:t xml:space="preserve"> we consider the four scenarios given in the way forward.</w:t>
      </w:r>
    </w:p>
    <w:p w:rsidR="001D1316" w:rsidRPr="00B24452" w:rsidRDefault="001D1316" w:rsidP="001D1316">
      <w:pPr>
        <w:numPr>
          <w:ilvl w:val="0"/>
          <w:numId w:val="24"/>
        </w:numPr>
        <w:tabs>
          <w:tab w:val="left" w:pos="920"/>
        </w:tabs>
        <w:rPr>
          <w:b/>
          <w:u w:val="single"/>
        </w:rPr>
      </w:pPr>
      <w:r>
        <w:rPr>
          <w:lang w:val="en-US" w:eastAsia="zh-CN"/>
        </w:rPr>
        <w:t xml:space="preserve"> </w:t>
      </w:r>
      <w:r w:rsidRPr="00B24452">
        <w:rPr>
          <w:b/>
          <w:u w:val="single"/>
        </w:rPr>
        <w:t xml:space="preserve">Scenario </w:t>
      </w:r>
      <w:r w:rsidR="00CC4146" w:rsidRPr="00B24452">
        <w:rPr>
          <w:b/>
          <w:u w:val="single"/>
        </w:rPr>
        <w:t>1:</w:t>
      </w:r>
      <w:r w:rsidRPr="00B24452">
        <w:rPr>
          <w:b/>
          <w:u w:val="single"/>
        </w:rPr>
        <w:t xml:space="preserve"> UE performs type A/B measurement with dual SMTC completely outside of measurement gap pattern (</w:t>
      </w:r>
      <w:r w:rsidR="00CC4146" w:rsidRPr="00B24452">
        <w:rPr>
          <w:b/>
          <w:u w:val="single"/>
        </w:rPr>
        <w:t>e.g.</w:t>
      </w:r>
      <w:r w:rsidRPr="00B24452">
        <w:rPr>
          <w:b/>
          <w:u w:val="single"/>
        </w:rPr>
        <w:t xml:space="preserve"> no measurement gaps are configured)</w:t>
      </w:r>
    </w:p>
    <w:p w:rsidR="001D1316" w:rsidRDefault="001D1316" w:rsidP="001D1316">
      <w:pPr>
        <w:tabs>
          <w:tab w:val="left" w:pos="920"/>
        </w:tabs>
      </w:pPr>
      <w:r>
        <w:t>This is the most straightforward scenario, and our view is that the requirements for this scenario are already well covered in existing specifications. The UE should perform cell search according to SMTC2 (since it does not know the PCI of a cell prior to detecting it). Since SMTC1 is a subset of SMTC2, this procedure will also lead to detection of cells which are using SMTC1. Clearly, such cells will not be transmitting SSB in every occasion where the UE performs cell search, so if a cell uses SMTC1, the detection time will be driven by the rate at which the network transmits SSB, rather than the rate at which the UE performs cell search. Hence such case is already reflected by the note</w:t>
      </w:r>
      <w:r w:rsidR="00CF7FC7">
        <w:t xml:space="preserve"> in the pss/sss identification requirements for gapless type A/B</w:t>
      </w:r>
      <w:r>
        <w:t xml:space="preserve"> “</w:t>
      </w: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r>
        <w:t>” in the requirements.</w:t>
      </w:r>
    </w:p>
    <w:p w:rsidR="001D1316" w:rsidRDefault="001D1316" w:rsidP="001D1316">
      <w:pPr>
        <w:tabs>
          <w:tab w:val="left" w:pos="920"/>
        </w:tabs>
      </w:pPr>
      <w:r>
        <w:t>Once the cell is detected, the UE determines the PCI and knows whether it should be measured according to SMTC1 or SMTC2. Hence the UE does not have to perform autonomous detection of the presence of an SSB for measurement purposes and can use an appropriate sampling rate and measurement period in its measurement of the target cell.</w:t>
      </w:r>
      <w:r w:rsidR="00CF7FC7">
        <w:t xml:space="preserve"> Again, this is reflected in a note in the measurement period requirements table.</w:t>
      </w:r>
    </w:p>
    <w:p w:rsidR="00CF7FC7" w:rsidRDefault="00CF7FC7" w:rsidP="001D1316">
      <w:pPr>
        <w:tabs>
          <w:tab w:val="left" w:pos="920"/>
        </w:tabs>
      </w:pPr>
      <w:r>
        <w:t>Since the UE performs cell search at SMTC2 rate, in scheduling restrictions it should be allowed to perform scheduling restriction (</w:t>
      </w:r>
      <w:r w:rsidR="00CC4146">
        <w:t>beam sweep</w:t>
      </w:r>
      <w:r>
        <w:t xml:space="preserve"> or numerology switch) at the SMTC2 rate. This is reflected by the specification text “</w:t>
      </w:r>
      <w:r w:rsidRPr="00CF7FC7">
        <w:rPr>
          <w:i/>
        </w:rPr>
        <w:t xml:space="preserve">If the high layer in TS 38.331 [2] </w:t>
      </w:r>
      <w:r w:rsidR="00CC4146" w:rsidRPr="00CF7FC7">
        <w:rPr>
          <w:i/>
        </w:rPr>
        <w:t>signalling</w:t>
      </w:r>
      <w:r w:rsidRPr="00CF7FC7">
        <w:rPr>
          <w:i/>
        </w:rPr>
        <w:t xml:space="preserve"> of smtc2 is configured, the SMTC periodicity follows smtc2; Otherwise SMTC periodicity follows smtc1.</w:t>
      </w:r>
      <w:r>
        <w:t>”</w:t>
      </w:r>
    </w:p>
    <w:p w:rsidR="004C5180" w:rsidRDefault="004C5180" w:rsidP="001D1316">
      <w:pPr>
        <w:tabs>
          <w:tab w:val="left" w:pos="920"/>
        </w:tabs>
      </w:pPr>
      <w:r>
        <w:t>Based on this analysis, our view is that the operation with dual SMTC is specified for scenario 1.</w:t>
      </w:r>
    </w:p>
    <w:p w:rsidR="004C5180" w:rsidRPr="00B24452" w:rsidRDefault="004C5180" w:rsidP="001D1316">
      <w:pPr>
        <w:tabs>
          <w:tab w:val="left" w:pos="920"/>
        </w:tabs>
        <w:rPr>
          <w:b/>
          <w:u w:val="single"/>
        </w:rPr>
      </w:pPr>
      <w:r>
        <w:rPr>
          <w:b/>
        </w:rPr>
        <w:t xml:space="preserve">Observation </w:t>
      </w:r>
      <w:r w:rsidR="00CC4146">
        <w:rPr>
          <w:b/>
        </w:rPr>
        <w:t>2:</w:t>
      </w:r>
      <w:r>
        <w:rPr>
          <w:b/>
        </w:rPr>
        <w:t xml:space="preserve"> The principles of dual SMTC operation and corresponding requirements are already specified for scenario 1</w:t>
      </w:r>
      <w:r w:rsidR="00243469">
        <w:rPr>
          <w:b/>
        </w:rPr>
        <w:t xml:space="preserve"> in 38.133 chapter 9.2</w:t>
      </w:r>
    </w:p>
    <w:p w:rsidR="001D1316" w:rsidRPr="00B24452" w:rsidRDefault="001D1316" w:rsidP="001D1316">
      <w:pPr>
        <w:numPr>
          <w:ilvl w:val="0"/>
          <w:numId w:val="24"/>
        </w:numPr>
        <w:tabs>
          <w:tab w:val="left" w:pos="920"/>
        </w:tabs>
        <w:rPr>
          <w:b/>
          <w:u w:val="single"/>
        </w:rPr>
      </w:pPr>
      <w:r w:rsidRPr="00B24452">
        <w:rPr>
          <w:b/>
          <w:u w:val="single"/>
        </w:rPr>
        <w:t xml:space="preserve">Scenario </w:t>
      </w:r>
      <w:r w:rsidR="00CC4146" w:rsidRPr="00B24452">
        <w:rPr>
          <w:b/>
          <w:u w:val="single"/>
        </w:rPr>
        <w:t>2:</w:t>
      </w:r>
      <w:r w:rsidRPr="00B24452">
        <w:rPr>
          <w:b/>
          <w:u w:val="single"/>
        </w:rPr>
        <w:t xml:space="preserve"> Measurement gaps are configured such that the gaps are fully overlapping with type A/B measurement for both SMTC1 and SMTC2</w:t>
      </w:r>
    </w:p>
    <w:p w:rsidR="004C5180" w:rsidRDefault="004C5180" w:rsidP="004C5180">
      <w:pPr>
        <w:tabs>
          <w:tab w:val="left" w:pos="920"/>
        </w:tabs>
        <w:rPr>
          <w:rFonts w:eastAsia="Times New Roman"/>
        </w:rPr>
      </w:pPr>
      <w:r>
        <w:t xml:space="preserve">In this case, the main difference form scenario 1 is that all the type A/B measurements are overlapping with measurement gaps and hence scaling factor </w:t>
      </w:r>
      <w:r>
        <w:rPr>
          <w:rFonts w:eastAsia="Times New Roman"/>
        </w:rPr>
        <w:t>CSSF</w:t>
      </w:r>
      <w:r>
        <w:rPr>
          <w:rFonts w:eastAsia="Times New Roman"/>
          <w:vertAlign w:val="subscript"/>
        </w:rPr>
        <w:t>within_gap_i</w:t>
      </w:r>
      <w:r w:rsidRPr="004C5180">
        <w:rPr>
          <w:rFonts w:eastAsia="Times New Roman"/>
        </w:rPr>
        <w:t xml:space="preserve"> will</w:t>
      </w:r>
      <w:r>
        <w:rPr>
          <w:rFonts w:eastAsia="Times New Roman"/>
        </w:rPr>
        <w:t xml:space="preserve"> be applied to the requirements. A generally similar approach may be used as for scenario 1, however one aspect which is not captured in specifications is which SMTC periodicity to assume for the intra-frequency carrier in the equations defining CSSF</w:t>
      </w:r>
      <w:r>
        <w:rPr>
          <w:rFonts w:eastAsia="Times New Roman"/>
          <w:vertAlign w:val="subscript"/>
        </w:rPr>
        <w:t>within_gap_i</w:t>
      </w:r>
      <w:r>
        <w:rPr>
          <w:rFonts w:eastAsia="Times New Roman"/>
        </w:rPr>
        <w:t xml:space="preserve"> itself. Since the UE needs to be able to perform cell search according to the SMTC2 </w:t>
      </w:r>
      <w:r w:rsidR="00CC4146">
        <w:rPr>
          <w:rFonts w:eastAsia="Times New Roman"/>
        </w:rPr>
        <w:t>periodicity and</w:t>
      </w:r>
      <w:r>
        <w:rPr>
          <w:rFonts w:eastAsia="Times New Roman"/>
        </w:rPr>
        <w:t xml:space="preserve"> may also need to measure some cells according to SMTC2, the multiple measurement object formulation should assume that SMTC2 is used for intra-frequency measurement objects where dual SMTC is configured. This aspect is not yet captured in specifications.</w:t>
      </w:r>
    </w:p>
    <w:p w:rsidR="004C5180" w:rsidRPr="00243469" w:rsidRDefault="004C5180" w:rsidP="004C5180">
      <w:pPr>
        <w:tabs>
          <w:tab w:val="left" w:pos="920"/>
        </w:tabs>
        <w:rPr>
          <w:b/>
        </w:rPr>
      </w:pPr>
      <w:r w:rsidRPr="00243469">
        <w:rPr>
          <w:rFonts w:eastAsia="Times New Roman"/>
          <w:b/>
        </w:rPr>
        <w:t>Proposal 1:  Definitions of CSSF</w:t>
      </w:r>
      <w:r w:rsidRPr="00243469">
        <w:rPr>
          <w:rFonts w:eastAsia="Times New Roman"/>
          <w:b/>
          <w:vertAlign w:val="subscript"/>
        </w:rPr>
        <w:t>within_gap_</w:t>
      </w:r>
      <w:r w:rsidRPr="00243469">
        <w:rPr>
          <w:rFonts w:eastAsia="Times New Roman"/>
          <w:b/>
        </w:rPr>
        <w:t xml:space="preserve">are updated to indicate that the assumed SMTC periodicity for intrafrequency measurement objects as </w:t>
      </w:r>
      <w:r w:rsidR="00CC4146" w:rsidRPr="00243469">
        <w:rPr>
          <w:rFonts w:eastAsia="Times New Roman"/>
          <w:b/>
        </w:rPr>
        <w:t>follows:</w:t>
      </w:r>
      <w:r w:rsidRPr="00243469">
        <w:rPr>
          <w:rFonts w:eastAsia="Times New Roman"/>
          <w:b/>
        </w:rPr>
        <w:t xml:space="preserve"> If the high layer in TS 38.331 [2] </w:t>
      </w:r>
      <w:r w:rsidR="00CC4146" w:rsidRPr="00243469">
        <w:rPr>
          <w:rFonts w:eastAsia="Times New Roman"/>
          <w:b/>
        </w:rPr>
        <w:t>signalling</w:t>
      </w:r>
      <w:r w:rsidRPr="00243469">
        <w:rPr>
          <w:rFonts w:eastAsia="Times New Roman"/>
          <w:b/>
        </w:rPr>
        <w:t xml:space="preserve"> of smtc2 is configured, the SMTC periodicity follows smtc2; Otherwise SMTC periodicity follows smtc1.</w:t>
      </w:r>
    </w:p>
    <w:p w:rsidR="001D1316" w:rsidRPr="00B24452" w:rsidRDefault="001D1316" w:rsidP="001D1316">
      <w:pPr>
        <w:numPr>
          <w:ilvl w:val="0"/>
          <w:numId w:val="24"/>
        </w:numPr>
        <w:tabs>
          <w:tab w:val="left" w:pos="920"/>
        </w:tabs>
        <w:rPr>
          <w:b/>
          <w:u w:val="single"/>
        </w:rPr>
      </w:pPr>
      <w:r w:rsidRPr="00B24452">
        <w:rPr>
          <w:b/>
          <w:u w:val="single"/>
        </w:rPr>
        <w:lastRenderedPageBreak/>
        <w:t xml:space="preserve">Scenario </w:t>
      </w:r>
      <w:r w:rsidR="00CC4146" w:rsidRPr="00B24452">
        <w:rPr>
          <w:b/>
          <w:u w:val="single"/>
        </w:rPr>
        <w:t>3:</w:t>
      </w:r>
      <w:r w:rsidRPr="00B24452">
        <w:rPr>
          <w:b/>
          <w:u w:val="single"/>
        </w:rPr>
        <w:t xml:space="preserve"> Measurement gaps are configured such that they are fully overlapping with SMTC1 and partially overlapping with SMTC2</w:t>
      </w:r>
    </w:p>
    <w:p w:rsidR="00413927" w:rsidRDefault="00413927" w:rsidP="00413927">
      <w:pPr>
        <w:tabs>
          <w:tab w:val="left" w:pos="920"/>
        </w:tabs>
      </w:pPr>
      <w:r>
        <w:t xml:space="preserve">Although it may be technically feasible to determine requirements for this scenario it is not straightforward based on the decisions already made in RAN4, because the UE needs to make use of some of the MG occasions to measure the SMTC1 cells, and at the same time, for the SMTC2 cells the partially overlapping requirements which have already been defined by RAN4 assume that MG occasions are not used for the measurement. However, if the UE uses both MG and </w:t>
      </w:r>
      <w:r w:rsidR="00CC4146">
        <w:t>non-MG</w:t>
      </w:r>
      <w:r>
        <w:t xml:space="preserve"> for the RRM activities, it may detect SMTC2 cells also in the measurement gaps, even though the requirement scaling factors assume </w:t>
      </w:r>
      <w:r w:rsidR="00CC4146">
        <w:t>non-gap-based</w:t>
      </w:r>
      <w:r>
        <w:t xml:space="preserve"> measurement for the partially overlapping case.</w:t>
      </w:r>
    </w:p>
    <w:p w:rsidR="00413927" w:rsidRDefault="00413927" w:rsidP="00413927">
      <w:pPr>
        <w:tabs>
          <w:tab w:val="left" w:pos="920"/>
        </w:tabs>
      </w:pPr>
      <w:r>
        <w:t>Given the timescale and the complexity of the RRM requirements which are already specified in RAN4, we do not recommend extended discussions and further complications of the core requirements to address scenario 3. The simple solution is not to specify different performance for the SMTC2 cells in this case, in which case the SMTC2 cells should be treated like SMTC1 cells from a minimum requirements point of view,</w:t>
      </w:r>
    </w:p>
    <w:p w:rsidR="00413927" w:rsidRPr="00B24452" w:rsidRDefault="00413927" w:rsidP="00413927">
      <w:pPr>
        <w:tabs>
          <w:tab w:val="left" w:pos="920"/>
        </w:tabs>
        <w:rPr>
          <w:b/>
        </w:rPr>
      </w:pPr>
      <w:r w:rsidRPr="00B24452">
        <w:rPr>
          <w:b/>
        </w:rPr>
        <w:t xml:space="preserve">Proposal </w:t>
      </w:r>
      <w:r w:rsidR="00CC4146" w:rsidRPr="00B24452">
        <w:rPr>
          <w:b/>
        </w:rPr>
        <w:t>2:</w:t>
      </w:r>
      <w:r w:rsidRPr="00B24452">
        <w:rPr>
          <w:b/>
        </w:rPr>
        <w:t xml:space="preserve"> RAN4 does </w:t>
      </w:r>
      <w:r w:rsidR="00CC4146" w:rsidRPr="00B24452">
        <w:rPr>
          <w:b/>
        </w:rPr>
        <w:t>not specify</w:t>
      </w:r>
      <w:r w:rsidRPr="00B24452">
        <w:rPr>
          <w:b/>
        </w:rPr>
        <w:t xml:space="preserve"> different performance for the SMTC2 cells for scenario 3. In scenario 3, the SMTC2 cells should be treated like SMTC1 cells from a minimum requirements point of view,</w:t>
      </w:r>
    </w:p>
    <w:p w:rsidR="001D1316" w:rsidRPr="00B24452" w:rsidRDefault="001D1316" w:rsidP="001D1316">
      <w:pPr>
        <w:numPr>
          <w:ilvl w:val="0"/>
          <w:numId w:val="24"/>
        </w:numPr>
        <w:tabs>
          <w:tab w:val="left" w:pos="920"/>
        </w:tabs>
        <w:rPr>
          <w:b/>
          <w:u w:val="single"/>
        </w:rPr>
      </w:pPr>
      <w:r w:rsidRPr="00B24452">
        <w:rPr>
          <w:b/>
          <w:u w:val="single"/>
        </w:rPr>
        <w:t xml:space="preserve">Scenario </w:t>
      </w:r>
      <w:r w:rsidR="00CC4146" w:rsidRPr="00B24452">
        <w:rPr>
          <w:b/>
          <w:u w:val="single"/>
        </w:rPr>
        <w:t>4:</w:t>
      </w:r>
      <w:r w:rsidRPr="00B24452">
        <w:rPr>
          <w:b/>
          <w:u w:val="single"/>
        </w:rPr>
        <w:t xml:space="preserve"> Type C measurement is configured with dual SMTC. Other type D measurements may also be configured.</w:t>
      </w:r>
    </w:p>
    <w:p w:rsidR="0019182B" w:rsidRDefault="00413927" w:rsidP="0019182B">
      <w:pPr>
        <w:rPr>
          <w:rFonts w:eastAsia="Times New Roman"/>
        </w:rPr>
      </w:pPr>
      <w:r>
        <w:rPr>
          <w:lang w:val="en-US" w:eastAsia="zh-CN"/>
        </w:rPr>
        <w:t>Since type C and type D measurement are also performed in measurement gaps, scenario 4 is very similar to scenario 2, and our conclusion for this case is identical. The only difference is that the requirements for type C measurements are captured in section 9.2.6 rather than section 9.2.5. In our understanding, the requirements for dual SMTC are also captured in section 9.2.6 and the approa</w:t>
      </w:r>
      <w:r w:rsidR="00B24452">
        <w:rPr>
          <w:lang w:val="en-US" w:eastAsia="zh-CN"/>
        </w:rPr>
        <w:t xml:space="preserve">ch to clarify which SMTC is used in </w:t>
      </w:r>
      <w:r>
        <w:rPr>
          <w:lang w:val="en-US" w:eastAsia="zh-CN"/>
        </w:rPr>
        <w:t xml:space="preserve"> </w:t>
      </w:r>
      <w:r w:rsidR="00B24452">
        <w:rPr>
          <w:rFonts w:eastAsia="Times New Roman"/>
        </w:rPr>
        <w:t>definitions of CSSF</w:t>
      </w:r>
      <w:r w:rsidR="00B24452">
        <w:rPr>
          <w:rFonts w:eastAsia="Times New Roman"/>
          <w:vertAlign w:val="subscript"/>
        </w:rPr>
        <w:t>within_gap_</w:t>
      </w:r>
      <w:r w:rsidR="00B24452">
        <w:rPr>
          <w:rFonts w:eastAsia="Times New Roman"/>
        </w:rPr>
        <w:t xml:space="preserve"> is generic and would also cover scenario 4.</w:t>
      </w:r>
    </w:p>
    <w:p w:rsidR="00B24452" w:rsidRDefault="00B24452" w:rsidP="0019182B">
      <w:pPr>
        <w:rPr>
          <w:rFonts w:eastAsia="Times New Roman"/>
          <w:b/>
        </w:rPr>
      </w:pPr>
      <w:r>
        <w:rPr>
          <w:rFonts w:eastAsia="Times New Roman"/>
          <w:b/>
        </w:rPr>
        <w:t>Observation 3: Proposal 1 also addresses scenario 4.</w:t>
      </w:r>
    </w:p>
    <w:p w:rsidR="00BE6F4B" w:rsidRDefault="00BE6F4B" w:rsidP="0019182B">
      <w:pPr>
        <w:rPr>
          <w:rFonts w:eastAsia="Times New Roman"/>
        </w:rPr>
      </w:pPr>
      <w:r>
        <w:rPr>
          <w:rFonts w:eastAsia="Times New Roman"/>
        </w:rPr>
        <w:t xml:space="preserve">The analysis so far has addressed </w:t>
      </w:r>
      <w:r w:rsidR="00291FFE">
        <w:rPr>
          <w:rFonts w:eastAsia="Times New Roman"/>
        </w:rPr>
        <w:t>38.133 section 9. Considering main requirements in other sections where there is a dependency on SMTC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8103"/>
      </w:tblGrid>
      <w:tr w:rsidR="00291FFE" w:rsidRPr="00261048" w:rsidTr="00261048">
        <w:tc>
          <w:tcPr>
            <w:tcW w:w="2660" w:type="dxa"/>
            <w:shd w:val="clear" w:color="auto" w:fill="auto"/>
          </w:tcPr>
          <w:p w:rsidR="00291FFE" w:rsidRPr="00261048" w:rsidRDefault="00291FFE" w:rsidP="0019182B">
            <w:pPr>
              <w:rPr>
                <w:rFonts w:eastAsia="Times New Roman"/>
              </w:rPr>
            </w:pPr>
            <w:r w:rsidRPr="00261048">
              <w:rPr>
                <w:rFonts w:eastAsia="Times New Roman"/>
              </w:rPr>
              <w:t>Chapter 4, idle mode</w:t>
            </w:r>
          </w:p>
          <w:p w:rsidR="00291FFE" w:rsidRPr="00261048" w:rsidRDefault="00291FFE" w:rsidP="0019182B">
            <w:pPr>
              <w:rPr>
                <w:rFonts w:eastAsia="Times New Roman"/>
              </w:rPr>
            </w:pPr>
            <w:r w:rsidRPr="00261048">
              <w:rPr>
                <w:rFonts w:eastAsia="Times New Roman"/>
              </w:rPr>
              <w:t>Chapter 5, inactive mode</w:t>
            </w:r>
          </w:p>
        </w:tc>
        <w:tc>
          <w:tcPr>
            <w:tcW w:w="8103" w:type="dxa"/>
            <w:shd w:val="clear" w:color="auto" w:fill="auto"/>
          </w:tcPr>
          <w:p w:rsidR="00291FFE" w:rsidRPr="00261048" w:rsidRDefault="00291FFE" w:rsidP="0019182B">
            <w:pPr>
              <w:rPr>
                <w:rFonts w:eastAsia="Times New Roman"/>
              </w:rPr>
            </w:pPr>
            <w:r w:rsidRPr="00261048">
              <w:rPr>
                <w:rFonts w:eastAsia="Times New Roman"/>
              </w:rPr>
              <w:t>Dual SMTC is for RRC connected state only, single SMTC used in idle or inactive mode</w:t>
            </w:r>
          </w:p>
        </w:tc>
      </w:tr>
      <w:tr w:rsidR="00291FFE" w:rsidRPr="00261048" w:rsidTr="00261048">
        <w:tc>
          <w:tcPr>
            <w:tcW w:w="2660" w:type="dxa"/>
            <w:shd w:val="clear" w:color="auto" w:fill="auto"/>
          </w:tcPr>
          <w:p w:rsidR="00291FFE" w:rsidRPr="00261048" w:rsidRDefault="00291FFE" w:rsidP="0019182B">
            <w:pPr>
              <w:rPr>
                <w:rFonts w:eastAsia="Times New Roman"/>
              </w:rPr>
            </w:pPr>
            <w:r w:rsidRPr="00261048">
              <w:rPr>
                <w:rFonts w:eastAsia="Times New Roman"/>
              </w:rPr>
              <w:t>Chapter 6, handover</w:t>
            </w:r>
          </w:p>
        </w:tc>
        <w:tc>
          <w:tcPr>
            <w:tcW w:w="8103" w:type="dxa"/>
            <w:shd w:val="clear" w:color="auto" w:fill="auto"/>
          </w:tcPr>
          <w:p w:rsidR="00291FFE" w:rsidRPr="00261048" w:rsidRDefault="00291FFE" w:rsidP="0019182B">
            <w:pPr>
              <w:rPr>
                <w:rFonts w:eastAsia="Times New Roman"/>
              </w:rPr>
            </w:pPr>
            <w:r w:rsidRPr="00261048">
              <w:rPr>
                <w:rFonts w:eastAsia="Times New Roman"/>
              </w:rPr>
              <w:t xml:space="preserve">UE knows the PCI of the target cell, and </w:t>
            </w:r>
            <w:r w:rsidR="00DF6EAD" w:rsidRPr="00261048">
              <w:rPr>
                <w:rFonts w:eastAsia="Times New Roman"/>
              </w:rPr>
              <w:t>should use the correct SMTC (SMTC1 or SMTC2) to execute the handover if it gets SMTC information from the measurement object. If SSB is explicitly indicated by the network in the handover command, network should indicate the periodicity that it expects the UE to assume for the handover</w:t>
            </w:r>
          </w:p>
        </w:tc>
      </w:tr>
      <w:tr w:rsidR="00291FFE" w:rsidRPr="00261048" w:rsidTr="00261048">
        <w:tc>
          <w:tcPr>
            <w:tcW w:w="2660" w:type="dxa"/>
            <w:shd w:val="clear" w:color="auto" w:fill="auto"/>
          </w:tcPr>
          <w:p w:rsidR="00291FFE" w:rsidRPr="00261048" w:rsidRDefault="00DF6EAD" w:rsidP="0019182B">
            <w:pPr>
              <w:rPr>
                <w:rFonts w:eastAsia="Times New Roman"/>
              </w:rPr>
            </w:pPr>
            <w:r w:rsidRPr="00261048">
              <w:rPr>
                <w:rFonts w:eastAsia="Times New Roman"/>
              </w:rPr>
              <w:t>Chapter 6, RRC reestablishment</w:t>
            </w:r>
          </w:p>
        </w:tc>
        <w:tc>
          <w:tcPr>
            <w:tcW w:w="8103" w:type="dxa"/>
            <w:shd w:val="clear" w:color="auto" w:fill="auto"/>
          </w:tcPr>
          <w:p w:rsidR="00291FFE" w:rsidRPr="00261048" w:rsidRDefault="00DF6EAD" w:rsidP="0019182B">
            <w:pPr>
              <w:rPr>
                <w:rFonts w:eastAsia="Times New Roman"/>
              </w:rPr>
            </w:pPr>
            <w:r w:rsidRPr="00261048">
              <w:rPr>
                <w:rFonts w:eastAsia="Times New Roman"/>
              </w:rPr>
              <w:t>UE should search for target cells for reestablishment according to SMTC2 if configured. Once it detects a target cell, it determines PCI and should use the appropriate SMTC for further operations</w:t>
            </w:r>
          </w:p>
        </w:tc>
      </w:tr>
      <w:tr w:rsidR="00DF6EAD" w:rsidRPr="00261048" w:rsidTr="00261048">
        <w:tc>
          <w:tcPr>
            <w:tcW w:w="2660" w:type="dxa"/>
            <w:shd w:val="clear" w:color="auto" w:fill="auto"/>
          </w:tcPr>
          <w:p w:rsidR="00DF6EAD" w:rsidRPr="00261048" w:rsidRDefault="00DF6EAD" w:rsidP="0019182B">
            <w:pPr>
              <w:rPr>
                <w:rFonts w:eastAsia="Times New Roman"/>
              </w:rPr>
            </w:pPr>
            <w:r w:rsidRPr="00261048">
              <w:rPr>
                <w:rFonts w:eastAsia="Times New Roman"/>
              </w:rPr>
              <w:t>Chapter 6, RRC Release with redirection to NR</w:t>
            </w:r>
          </w:p>
        </w:tc>
        <w:tc>
          <w:tcPr>
            <w:tcW w:w="8103" w:type="dxa"/>
            <w:shd w:val="clear" w:color="auto" w:fill="auto"/>
          </w:tcPr>
          <w:p w:rsidR="00DF6EAD" w:rsidRPr="00261048" w:rsidRDefault="00DF6EAD" w:rsidP="0019182B">
            <w:pPr>
              <w:rPr>
                <w:rFonts w:eastAsia="Times New Roman"/>
              </w:rPr>
            </w:pPr>
            <w:r w:rsidRPr="00261048">
              <w:rPr>
                <w:rFonts w:eastAsia="Times New Roman"/>
              </w:rPr>
              <w:t>UE is indicated which target cell to redirect to. and should use the correct SMTC (SMTC1 or SMTC2) to execute the handover if it gets SMTC information from the measurement object. If SSB is explicitly indicated by the network in the redirection command, network should indicate the periodicity that it expects the UE to assume for the redirection</w:t>
            </w:r>
          </w:p>
        </w:tc>
      </w:tr>
      <w:tr w:rsidR="00DF6EAD" w:rsidRPr="00261048" w:rsidTr="00261048">
        <w:tc>
          <w:tcPr>
            <w:tcW w:w="2660" w:type="dxa"/>
            <w:shd w:val="clear" w:color="auto" w:fill="auto"/>
          </w:tcPr>
          <w:p w:rsidR="00DF6EAD" w:rsidRPr="00261048" w:rsidRDefault="00DF6EAD" w:rsidP="0019182B">
            <w:pPr>
              <w:rPr>
                <w:rFonts w:eastAsia="Times New Roman"/>
              </w:rPr>
            </w:pPr>
            <w:r w:rsidRPr="00261048">
              <w:rPr>
                <w:rFonts w:eastAsia="Times New Roman"/>
              </w:rPr>
              <w:t>Chapter 8, RLM</w:t>
            </w:r>
          </w:p>
        </w:tc>
        <w:tc>
          <w:tcPr>
            <w:tcW w:w="8103" w:type="dxa"/>
            <w:shd w:val="clear" w:color="auto" w:fill="auto"/>
          </w:tcPr>
          <w:p w:rsidR="00DF6EAD" w:rsidRPr="00261048" w:rsidRDefault="00DF6EAD" w:rsidP="0019182B">
            <w:pPr>
              <w:rPr>
                <w:rFonts w:eastAsia="Times New Roman"/>
              </w:rPr>
            </w:pPr>
            <w:r w:rsidRPr="00261048">
              <w:rPr>
                <w:rFonts w:eastAsia="Times New Roman"/>
              </w:rPr>
              <w:t>Since the UE will need to perform cell search with SMTC2 periodicity, the RLM definition of partial overlap should be based on SMTC2, if configured (already specified)</w:t>
            </w:r>
          </w:p>
        </w:tc>
      </w:tr>
      <w:tr w:rsidR="00DF6EAD" w:rsidRPr="00261048" w:rsidTr="00261048">
        <w:tc>
          <w:tcPr>
            <w:tcW w:w="2660" w:type="dxa"/>
            <w:shd w:val="clear" w:color="auto" w:fill="auto"/>
          </w:tcPr>
          <w:p w:rsidR="00DF6EAD" w:rsidRPr="00261048" w:rsidRDefault="00DF6EAD" w:rsidP="0019182B">
            <w:pPr>
              <w:rPr>
                <w:rFonts w:eastAsia="Times New Roman"/>
              </w:rPr>
            </w:pPr>
            <w:r w:rsidRPr="00261048">
              <w:rPr>
                <w:rFonts w:eastAsia="Times New Roman"/>
              </w:rPr>
              <w:t>Chapter 8, SCell addition</w:t>
            </w:r>
          </w:p>
        </w:tc>
        <w:tc>
          <w:tcPr>
            <w:tcW w:w="8103" w:type="dxa"/>
            <w:shd w:val="clear" w:color="auto" w:fill="auto"/>
          </w:tcPr>
          <w:p w:rsidR="00DF6EAD" w:rsidRPr="00261048" w:rsidRDefault="00DF6EAD" w:rsidP="0019182B">
            <w:pPr>
              <w:rPr>
                <w:rFonts w:eastAsia="Times New Roman"/>
              </w:rPr>
            </w:pPr>
            <w:r w:rsidRPr="00261048">
              <w:rPr>
                <w:rFonts w:eastAsia="Times New Roman"/>
              </w:rPr>
              <w:t>UE knows the PCI of the SCell(s) being added, and should use the appropriate SMTC for the SCell(s) being added (either SMTC1 or SMTC2 depending on PCI). Hence the interruption and SCell addition requirements should be</w:t>
            </w:r>
            <w:r w:rsidR="00243469" w:rsidRPr="00261048">
              <w:rPr>
                <w:rFonts w:eastAsia="Times New Roman"/>
              </w:rPr>
              <w:t xml:space="preserve"> based on SMTC1 or SMTC2 depending on the PCI of the target cell.</w:t>
            </w:r>
          </w:p>
        </w:tc>
      </w:tr>
      <w:tr w:rsidR="00243469" w:rsidRPr="00261048" w:rsidTr="00261048">
        <w:tc>
          <w:tcPr>
            <w:tcW w:w="2660" w:type="dxa"/>
            <w:shd w:val="clear" w:color="auto" w:fill="auto"/>
          </w:tcPr>
          <w:p w:rsidR="00243469" w:rsidRPr="00261048" w:rsidRDefault="00243469" w:rsidP="00243469">
            <w:pPr>
              <w:rPr>
                <w:rFonts w:eastAsia="Times New Roman"/>
              </w:rPr>
            </w:pPr>
            <w:r w:rsidRPr="00261048">
              <w:rPr>
                <w:rFonts w:eastAsia="Times New Roman"/>
              </w:rPr>
              <w:t>Chapter 8, beam failure detection</w:t>
            </w:r>
          </w:p>
        </w:tc>
        <w:tc>
          <w:tcPr>
            <w:tcW w:w="8103" w:type="dxa"/>
            <w:shd w:val="clear" w:color="auto" w:fill="auto"/>
          </w:tcPr>
          <w:p w:rsidR="00243469" w:rsidRPr="00261048" w:rsidRDefault="00243469" w:rsidP="00243469">
            <w:pPr>
              <w:rPr>
                <w:rFonts w:eastAsia="Times New Roman"/>
              </w:rPr>
            </w:pPr>
            <w:r w:rsidRPr="00261048">
              <w:rPr>
                <w:rFonts w:eastAsia="Times New Roman"/>
              </w:rPr>
              <w:t>Since the UE will need to perform cell search with SMTC2 periodicity, the RLM definition of partial overlap should be based on SMTC2, if configured (already specified)</w:t>
            </w:r>
          </w:p>
        </w:tc>
      </w:tr>
    </w:tbl>
    <w:p w:rsidR="00291FFE" w:rsidRDefault="00291FFE" w:rsidP="0019182B">
      <w:pPr>
        <w:rPr>
          <w:rFonts w:eastAsia="Times New Roman"/>
        </w:rPr>
      </w:pPr>
    </w:p>
    <w:p w:rsidR="00243469" w:rsidRDefault="00243469" w:rsidP="0019182B">
      <w:pPr>
        <w:rPr>
          <w:rFonts w:eastAsia="Times New Roman"/>
        </w:rPr>
      </w:pPr>
      <w:r>
        <w:rPr>
          <w:rFonts w:eastAsia="Times New Roman"/>
        </w:rPr>
        <w:t>Based on this analysis we propose</w:t>
      </w:r>
    </w:p>
    <w:p w:rsidR="00243469" w:rsidRPr="00243469" w:rsidRDefault="00243469" w:rsidP="0019182B">
      <w:pPr>
        <w:rPr>
          <w:rFonts w:eastAsia="Times New Roman"/>
          <w:b/>
        </w:rPr>
      </w:pPr>
      <w:r>
        <w:rPr>
          <w:rFonts w:eastAsia="Times New Roman"/>
          <w:b/>
        </w:rPr>
        <w:lastRenderedPageBreak/>
        <w:t xml:space="preserve">Proposal </w:t>
      </w:r>
      <w:r w:rsidR="00CC4146">
        <w:rPr>
          <w:rFonts w:eastAsia="Times New Roman"/>
          <w:b/>
        </w:rPr>
        <w:t>3:</w:t>
      </w:r>
      <w:r>
        <w:rPr>
          <w:rFonts w:eastAsia="Times New Roman"/>
          <w:b/>
        </w:rPr>
        <w:t xml:space="preserve"> Clarifications should be made in handover and SCell additi</w:t>
      </w:r>
      <w:r w:rsidR="00083BD8">
        <w:rPr>
          <w:rFonts w:eastAsia="Times New Roman"/>
          <w:b/>
        </w:rPr>
        <w:t>on requirements,</w:t>
      </w:r>
      <w:r>
        <w:rPr>
          <w:rFonts w:eastAsia="Times New Roman"/>
          <w:b/>
        </w:rPr>
        <w:t xml:space="preserve"> RRC reestablishment requirements and RRC release with redirection </w:t>
      </w:r>
      <w:r w:rsidR="00CC4146">
        <w:rPr>
          <w:rFonts w:eastAsia="Times New Roman"/>
          <w:b/>
        </w:rPr>
        <w:t>requirements such</w:t>
      </w:r>
      <w:r>
        <w:rPr>
          <w:rFonts w:eastAsia="Times New Roman"/>
          <w:b/>
        </w:rPr>
        <w:t xml:space="preserve"> that the requirement is based on the configured SMTC relevant for the PCI, which is known to the UE. </w:t>
      </w:r>
    </w:p>
    <w:p w:rsidR="00291FFE" w:rsidRPr="00BE6F4B" w:rsidRDefault="00243469" w:rsidP="0019182B">
      <w:pPr>
        <w:rPr>
          <w:lang w:val="en-US" w:eastAsia="zh-CN"/>
        </w:rPr>
      </w:pPr>
      <w:r>
        <w:rPr>
          <w:lang w:val="en-US" w:eastAsia="zh-CN"/>
        </w:rPr>
        <w:t>A corresponding CR provides needed updates in 38.133 for dual SMTC operation.</w:t>
      </w:r>
    </w:p>
    <w:p w:rsidR="005813AA" w:rsidRDefault="005813AA" w:rsidP="005813AA">
      <w:pPr>
        <w:pStyle w:val="Heading1"/>
        <w:jc w:val="both"/>
        <w:rPr>
          <w:rFonts w:eastAsia="SimSun"/>
          <w:lang w:val="en-US" w:eastAsia="zh-CN"/>
        </w:rPr>
      </w:pPr>
      <w:r>
        <w:rPr>
          <w:rFonts w:eastAsia="SimSun"/>
          <w:lang w:val="en-US" w:eastAsia="zh-CN"/>
        </w:rPr>
        <w:t>Conclusion</w:t>
      </w:r>
    </w:p>
    <w:p w:rsidR="00243469" w:rsidRDefault="00243469" w:rsidP="00243469">
      <w:pPr>
        <w:rPr>
          <w:b/>
          <w:lang w:val="en-US" w:eastAsia="zh-CN"/>
        </w:rPr>
      </w:pPr>
      <w:r>
        <w:rPr>
          <w:b/>
          <w:lang w:val="en-US" w:eastAsia="zh-CN"/>
        </w:rPr>
        <w:t>Observation 1: Dual SMTC takes additional effort to configure and should provide benefit over configuring a single SMTC with the same numeric value as either SMTC1 or SMTC2</w:t>
      </w:r>
    </w:p>
    <w:p w:rsidR="00243469" w:rsidRPr="00B24452" w:rsidRDefault="00243469" w:rsidP="00243469">
      <w:pPr>
        <w:tabs>
          <w:tab w:val="left" w:pos="920"/>
        </w:tabs>
        <w:rPr>
          <w:b/>
          <w:u w:val="single"/>
        </w:rPr>
      </w:pPr>
      <w:r>
        <w:rPr>
          <w:b/>
        </w:rPr>
        <w:t xml:space="preserve">Observation </w:t>
      </w:r>
      <w:r w:rsidR="00CC4146">
        <w:rPr>
          <w:b/>
        </w:rPr>
        <w:t>2:</w:t>
      </w:r>
      <w:r>
        <w:rPr>
          <w:b/>
        </w:rPr>
        <w:t xml:space="preserve"> The principles of dual SMTC operation and corresponding requirements are already specified for scenario 1 in 38.133 chapter 9.2</w:t>
      </w:r>
    </w:p>
    <w:p w:rsidR="00243469" w:rsidRPr="00243469" w:rsidRDefault="00243469" w:rsidP="00243469">
      <w:pPr>
        <w:tabs>
          <w:tab w:val="left" w:pos="920"/>
        </w:tabs>
        <w:rPr>
          <w:b/>
        </w:rPr>
      </w:pPr>
      <w:r w:rsidRPr="00243469">
        <w:rPr>
          <w:rFonts w:eastAsia="Times New Roman"/>
          <w:b/>
        </w:rPr>
        <w:t>Proposal 1:  Definitions of CSSF</w:t>
      </w:r>
      <w:r w:rsidRPr="00243469">
        <w:rPr>
          <w:rFonts w:eastAsia="Times New Roman"/>
          <w:b/>
          <w:vertAlign w:val="subscript"/>
        </w:rPr>
        <w:t>within_gap</w:t>
      </w:r>
      <w:r w:rsidR="001A34F5" w:rsidRPr="00243469">
        <w:rPr>
          <w:rFonts w:eastAsia="Times New Roman"/>
          <w:b/>
        </w:rPr>
        <w:t xml:space="preserve"> </w:t>
      </w:r>
      <w:r w:rsidRPr="00243469">
        <w:rPr>
          <w:rFonts w:eastAsia="Times New Roman"/>
          <w:b/>
        </w:rPr>
        <w:t xml:space="preserve">are updated to indicate that the assumed SMTC periodicity for intrafrequency measurement objects as </w:t>
      </w:r>
      <w:r w:rsidR="00CC4146" w:rsidRPr="00243469">
        <w:rPr>
          <w:rFonts w:eastAsia="Times New Roman"/>
          <w:b/>
        </w:rPr>
        <w:t>follows:</w:t>
      </w:r>
      <w:r w:rsidRPr="00243469">
        <w:rPr>
          <w:rFonts w:eastAsia="Times New Roman"/>
          <w:b/>
        </w:rPr>
        <w:t xml:space="preserve"> If the high layer in TS 38.331 [2] </w:t>
      </w:r>
      <w:r w:rsidR="00CC4146" w:rsidRPr="00243469">
        <w:rPr>
          <w:rFonts w:eastAsia="Times New Roman"/>
          <w:b/>
        </w:rPr>
        <w:t>signalling</w:t>
      </w:r>
      <w:r w:rsidRPr="00243469">
        <w:rPr>
          <w:rFonts w:eastAsia="Times New Roman"/>
          <w:b/>
        </w:rPr>
        <w:t xml:space="preserve"> of smtc2 is configured, the SMTC periodicity follows smtc2; Otherwise SMTC periodicity follows smtc1.</w:t>
      </w:r>
    </w:p>
    <w:p w:rsidR="00243469" w:rsidRPr="00B24452" w:rsidRDefault="00243469" w:rsidP="00243469">
      <w:pPr>
        <w:tabs>
          <w:tab w:val="left" w:pos="920"/>
        </w:tabs>
        <w:rPr>
          <w:b/>
        </w:rPr>
      </w:pPr>
      <w:r w:rsidRPr="00B24452">
        <w:rPr>
          <w:b/>
        </w:rPr>
        <w:t xml:space="preserve">Proposal </w:t>
      </w:r>
      <w:r w:rsidR="00CC4146" w:rsidRPr="00B24452">
        <w:rPr>
          <w:b/>
        </w:rPr>
        <w:t>2:</w:t>
      </w:r>
      <w:r w:rsidRPr="00B24452">
        <w:rPr>
          <w:b/>
        </w:rPr>
        <w:t xml:space="preserve"> RAN4 does </w:t>
      </w:r>
      <w:r w:rsidR="00CC4146" w:rsidRPr="00B24452">
        <w:rPr>
          <w:b/>
        </w:rPr>
        <w:t>not specify</w:t>
      </w:r>
      <w:r w:rsidRPr="00B24452">
        <w:rPr>
          <w:b/>
        </w:rPr>
        <w:t xml:space="preserve"> different performance for the SMTC2 cells for scenario 3. In scenario 3, the SMTC2 cells should be treated like SMTC1 cells from a minimum requirements point of view,</w:t>
      </w:r>
    </w:p>
    <w:p w:rsidR="00243469" w:rsidRDefault="00243469" w:rsidP="00243469">
      <w:pPr>
        <w:rPr>
          <w:rFonts w:eastAsia="Times New Roman"/>
          <w:b/>
        </w:rPr>
      </w:pPr>
      <w:r>
        <w:rPr>
          <w:rFonts w:eastAsia="Times New Roman"/>
          <w:b/>
        </w:rPr>
        <w:t>Observation 3: Proposal 1 also addresses scenario 4.</w:t>
      </w:r>
    </w:p>
    <w:p w:rsidR="00243469" w:rsidRPr="00243469" w:rsidRDefault="00243469" w:rsidP="00243469">
      <w:pPr>
        <w:rPr>
          <w:rFonts w:eastAsia="Times New Roman"/>
          <w:b/>
        </w:rPr>
      </w:pPr>
      <w:r>
        <w:rPr>
          <w:rFonts w:eastAsia="Times New Roman"/>
          <w:b/>
        </w:rPr>
        <w:t xml:space="preserve">Proposal </w:t>
      </w:r>
      <w:r w:rsidR="00CC4146">
        <w:rPr>
          <w:rFonts w:eastAsia="Times New Roman"/>
          <w:b/>
        </w:rPr>
        <w:t>3:</w:t>
      </w:r>
      <w:r>
        <w:rPr>
          <w:rFonts w:eastAsia="Times New Roman"/>
          <w:b/>
        </w:rPr>
        <w:t xml:space="preserve"> Clarifications should be made in handover and SCell </w:t>
      </w:r>
      <w:r w:rsidR="000A7F85">
        <w:rPr>
          <w:rFonts w:eastAsia="Times New Roman"/>
          <w:b/>
        </w:rPr>
        <w:t>activation</w:t>
      </w:r>
      <w:r>
        <w:rPr>
          <w:rFonts w:eastAsia="Times New Roman"/>
          <w:b/>
        </w:rPr>
        <w:t xml:space="preserve"> req</w:t>
      </w:r>
      <w:r w:rsidR="00083BD8">
        <w:rPr>
          <w:rFonts w:eastAsia="Times New Roman"/>
          <w:b/>
        </w:rPr>
        <w:t>uirements</w:t>
      </w:r>
      <w:r>
        <w:rPr>
          <w:rFonts w:eastAsia="Times New Roman"/>
          <w:b/>
        </w:rPr>
        <w:t xml:space="preserve">, RRC reestablishment requirements and RRC release with redirection </w:t>
      </w:r>
      <w:r w:rsidR="00CC4146">
        <w:rPr>
          <w:rFonts w:eastAsia="Times New Roman"/>
          <w:b/>
        </w:rPr>
        <w:t>requirements such</w:t>
      </w:r>
      <w:r>
        <w:rPr>
          <w:rFonts w:eastAsia="Times New Roman"/>
          <w:b/>
        </w:rPr>
        <w:t xml:space="preserve"> that the requirement is based on the configured SMTC relevant for the PCI, which is known to the UE. </w:t>
      </w:r>
    </w:p>
    <w:p w:rsidR="00DD2563" w:rsidRPr="004E3F38" w:rsidRDefault="00DD2563" w:rsidP="00DD2563">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A03232" w:rsidP="00A03232">
      <w:pPr>
        <w:pStyle w:val="3GPPNormalText"/>
        <w:numPr>
          <w:ilvl w:val="0"/>
          <w:numId w:val="5"/>
        </w:numPr>
        <w:rPr>
          <w:lang w:eastAsia="zh-CN"/>
        </w:rPr>
      </w:pPr>
      <w:bookmarkStart w:id="2" w:name="_Ref523902554"/>
      <w:r w:rsidRPr="00A03232">
        <w:rPr>
          <w:lang w:eastAsia="zh-CN"/>
        </w:rPr>
        <w:t>R4-18</w:t>
      </w:r>
      <w:bookmarkEnd w:id="2"/>
      <w:r w:rsidR="0019182B">
        <w:rPr>
          <w:lang w:eastAsia="zh-CN"/>
        </w:rPr>
        <w:t xml:space="preserve">4214, “Dual SMTC way forward”, </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B68" w:rsidRDefault="001B5B68">
      <w:r>
        <w:separator/>
      </w:r>
    </w:p>
  </w:endnote>
  <w:endnote w:type="continuationSeparator" w:id="0">
    <w:p w:rsidR="001B5B68" w:rsidRDefault="001B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B68" w:rsidRDefault="001B5B68">
      <w:r>
        <w:separator/>
      </w:r>
    </w:p>
  </w:footnote>
  <w:footnote w:type="continuationSeparator" w:id="0">
    <w:p w:rsidR="001B5B68" w:rsidRDefault="001B5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D63AC0"/>
    <w:multiLevelType w:val="hybridMultilevel"/>
    <w:tmpl w:val="2130A13A"/>
    <w:lvl w:ilvl="0" w:tplc="C4266C3C">
      <w:start w:val="1"/>
      <w:numFmt w:val="bullet"/>
      <w:lvlText w:val="•"/>
      <w:lvlJc w:val="left"/>
      <w:pPr>
        <w:tabs>
          <w:tab w:val="num" w:pos="720"/>
        </w:tabs>
        <w:ind w:left="720" w:hanging="360"/>
      </w:pPr>
      <w:rPr>
        <w:rFonts w:ascii="Arial" w:hAnsi="Arial" w:hint="default"/>
      </w:rPr>
    </w:lvl>
    <w:lvl w:ilvl="1" w:tplc="CC34A184">
      <w:start w:val="183"/>
      <w:numFmt w:val="bullet"/>
      <w:lvlText w:val="•"/>
      <w:lvlJc w:val="left"/>
      <w:pPr>
        <w:tabs>
          <w:tab w:val="num" w:pos="1440"/>
        </w:tabs>
        <w:ind w:left="1440" w:hanging="360"/>
      </w:pPr>
      <w:rPr>
        <w:rFonts w:ascii="Arial" w:hAnsi="Arial" w:hint="default"/>
      </w:rPr>
    </w:lvl>
    <w:lvl w:ilvl="2" w:tplc="C788526C" w:tentative="1">
      <w:start w:val="1"/>
      <w:numFmt w:val="bullet"/>
      <w:lvlText w:val="•"/>
      <w:lvlJc w:val="left"/>
      <w:pPr>
        <w:tabs>
          <w:tab w:val="num" w:pos="2160"/>
        </w:tabs>
        <w:ind w:left="2160" w:hanging="360"/>
      </w:pPr>
      <w:rPr>
        <w:rFonts w:ascii="Arial" w:hAnsi="Arial" w:hint="default"/>
      </w:rPr>
    </w:lvl>
    <w:lvl w:ilvl="3" w:tplc="81F65012" w:tentative="1">
      <w:start w:val="1"/>
      <w:numFmt w:val="bullet"/>
      <w:lvlText w:val="•"/>
      <w:lvlJc w:val="left"/>
      <w:pPr>
        <w:tabs>
          <w:tab w:val="num" w:pos="2880"/>
        </w:tabs>
        <w:ind w:left="2880" w:hanging="360"/>
      </w:pPr>
      <w:rPr>
        <w:rFonts w:ascii="Arial" w:hAnsi="Arial" w:hint="default"/>
      </w:rPr>
    </w:lvl>
    <w:lvl w:ilvl="4" w:tplc="38C2B6E2" w:tentative="1">
      <w:start w:val="1"/>
      <w:numFmt w:val="bullet"/>
      <w:lvlText w:val="•"/>
      <w:lvlJc w:val="left"/>
      <w:pPr>
        <w:tabs>
          <w:tab w:val="num" w:pos="3600"/>
        </w:tabs>
        <w:ind w:left="3600" w:hanging="360"/>
      </w:pPr>
      <w:rPr>
        <w:rFonts w:ascii="Arial" w:hAnsi="Arial" w:hint="default"/>
      </w:rPr>
    </w:lvl>
    <w:lvl w:ilvl="5" w:tplc="87EE2C36" w:tentative="1">
      <w:start w:val="1"/>
      <w:numFmt w:val="bullet"/>
      <w:lvlText w:val="•"/>
      <w:lvlJc w:val="left"/>
      <w:pPr>
        <w:tabs>
          <w:tab w:val="num" w:pos="4320"/>
        </w:tabs>
        <w:ind w:left="4320" w:hanging="360"/>
      </w:pPr>
      <w:rPr>
        <w:rFonts w:ascii="Arial" w:hAnsi="Arial" w:hint="default"/>
      </w:rPr>
    </w:lvl>
    <w:lvl w:ilvl="6" w:tplc="8800FC1C" w:tentative="1">
      <w:start w:val="1"/>
      <w:numFmt w:val="bullet"/>
      <w:lvlText w:val="•"/>
      <w:lvlJc w:val="left"/>
      <w:pPr>
        <w:tabs>
          <w:tab w:val="num" w:pos="5040"/>
        </w:tabs>
        <w:ind w:left="5040" w:hanging="360"/>
      </w:pPr>
      <w:rPr>
        <w:rFonts w:ascii="Arial" w:hAnsi="Arial" w:hint="default"/>
      </w:rPr>
    </w:lvl>
    <w:lvl w:ilvl="7" w:tplc="700AC99C" w:tentative="1">
      <w:start w:val="1"/>
      <w:numFmt w:val="bullet"/>
      <w:lvlText w:val="•"/>
      <w:lvlJc w:val="left"/>
      <w:pPr>
        <w:tabs>
          <w:tab w:val="num" w:pos="5760"/>
        </w:tabs>
        <w:ind w:left="5760" w:hanging="360"/>
      </w:pPr>
      <w:rPr>
        <w:rFonts w:ascii="Arial" w:hAnsi="Arial" w:hint="default"/>
      </w:rPr>
    </w:lvl>
    <w:lvl w:ilvl="8" w:tplc="1A3E24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1C03A9"/>
    <w:multiLevelType w:val="hybridMultilevel"/>
    <w:tmpl w:val="3698B41C"/>
    <w:lvl w:ilvl="0" w:tplc="32DEE5B4">
      <w:start w:val="1"/>
      <w:numFmt w:val="bullet"/>
      <w:lvlText w:val="•"/>
      <w:lvlJc w:val="left"/>
      <w:pPr>
        <w:tabs>
          <w:tab w:val="num" w:pos="720"/>
        </w:tabs>
        <w:ind w:left="720" w:hanging="360"/>
      </w:pPr>
      <w:rPr>
        <w:rFonts w:ascii="Arial" w:hAnsi="Arial" w:hint="default"/>
      </w:rPr>
    </w:lvl>
    <w:lvl w:ilvl="1" w:tplc="DD9EB298" w:tentative="1">
      <w:start w:val="1"/>
      <w:numFmt w:val="bullet"/>
      <w:lvlText w:val="•"/>
      <w:lvlJc w:val="left"/>
      <w:pPr>
        <w:tabs>
          <w:tab w:val="num" w:pos="1440"/>
        </w:tabs>
        <w:ind w:left="1440" w:hanging="360"/>
      </w:pPr>
      <w:rPr>
        <w:rFonts w:ascii="Arial" w:hAnsi="Arial" w:hint="default"/>
      </w:rPr>
    </w:lvl>
    <w:lvl w:ilvl="2" w:tplc="F84C160C" w:tentative="1">
      <w:start w:val="1"/>
      <w:numFmt w:val="bullet"/>
      <w:lvlText w:val="•"/>
      <w:lvlJc w:val="left"/>
      <w:pPr>
        <w:tabs>
          <w:tab w:val="num" w:pos="2160"/>
        </w:tabs>
        <w:ind w:left="2160" w:hanging="360"/>
      </w:pPr>
      <w:rPr>
        <w:rFonts w:ascii="Arial" w:hAnsi="Arial" w:hint="default"/>
      </w:rPr>
    </w:lvl>
    <w:lvl w:ilvl="3" w:tplc="203E4C04" w:tentative="1">
      <w:start w:val="1"/>
      <w:numFmt w:val="bullet"/>
      <w:lvlText w:val="•"/>
      <w:lvlJc w:val="left"/>
      <w:pPr>
        <w:tabs>
          <w:tab w:val="num" w:pos="2880"/>
        </w:tabs>
        <w:ind w:left="2880" w:hanging="360"/>
      </w:pPr>
      <w:rPr>
        <w:rFonts w:ascii="Arial" w:hAnsi="Arial" w:hint="default"/>
      </w:rPr>
    </w:lvl>
    <w:lvl w:ilvl="4" w:tplc="A7FC00BE" w:tentative="1">
      <w:start w:val="1"/>
      <w:numFmt w:val="bullet"/>
      <w:lvlText w:val="•"/>
      <w:lvlJc w:val="left"/>
      <w:pPr>
        <w:tabs>
          <w:tab w:val="num" w:pos="3600"/>
        </w:tabs>
        <w:ind w:left="3600" w:hanging="360"/>
      </w:pPr>
      <w:rPr>
        <w:rFonts w:ascii="Arial" w:hAnsi="Arial" w:hint="default"/>
      </w:rPr>
    </w:lvl>
    <w:lvl w:ilvl="5" w:tplc="BFCC7E0E" w:tentative="1">
      <w:start w:val="1"/>
      <w:numFmt w:val="bullet"/>
      <w:lvlText w:val="•"/>
      <w:lvlJc w:val="left"/>
      <w:pPr>
        <w:tabs>
          <w:tab w:val="num" w:pos="4320"/>
        </w:tabs>
        <w:ind w:left="4320" w:hanging="360"/>
      </w:pPr>
      <w:rPr>
        <w:rFonts w:ascii="Arial" w:hAnsi="Arial" w:hint="default"/>
      </w:rPr>
    </w:lvl>
    <w:lvl w:ilvl="6" w:tplc="865AC410" w:tentative="1">
      <w:start w:val="1"/>
      <w:numFmt w:val="bullet"/>
      <w:lvlText w:val="•"/>
      <w:lvlJc w:val="left"/>
      <w:pPr>
        <w:tabs>
          <w:tab w:val="num" w:pos="5040"/>
        </w:tabs>
        <w:ind w:left="5040" w:hanging="360"/>
      </w:pPr>
      <w:rPr>
        <w:rFonts w:ascii="Arial" w:hAnsi="Arial" w:hint="default"/>
      </w:rPr>
    </w:lvl>
    <w:lvl w:ilvl="7" w:tplc="235A98EC" w:tentative="1">
      <w:start w:val="1"/>
      <w:numFmt w:val="bullet"/>
      <w:lvlText w:val="•"/>
      <w:lvlJc w:val="left"/>
      <w:pPr>
        <w:tabs>
          <w:tab w:val="num" w:pos="5760"/>
        </w:tabs>
        <w:ind w:left="5760" w:hanging="360"/>
      </w:pPr>
      <w:rPr>
        <w:rFonts w:ascii="Arial" w:hAnsi="Arial" w:hint="default"/>
      </w:rPr>
    </w:lvl>
    <w:lvl w:ilvl="8" w:tplc="38FA57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41007"/>
    <w:multiLevelType w:val="hybridMultilevel"/>
    <w:tmpl w:val="BFB65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E41526"/>
    <w:multiLevelType w:val="hybridMultilevel"/>
    <w:tmpl w:val="FB4ADFE8"/>
    <w:lvl w:ilvl="0" w:tplc="7B5848CA">
      <w:start w:val="1"/>
      <w:numFmt w:val="bullet"/>
      <w:lvlText w:val="•"/>
      <w:lvlJc w:val="left"/>
      <w:pPr>
        <w:tabs>
          <w:tab w:val="num" w:pos="720"/>
        </w:tabs>
        <w:ind w:left="720" w:hanging="360"/>
      </w:pPr>
      <w:rPr>
        <w:rFonts w:ascii="Arial" w:hAnsi="Arial" w:hint="default"/>
      </w:rPr>
    </w:lvl>
    <w:lvl w:ilvl="1" w:tplc="DB445728">
      <w:start w:val="183"/>
      <w:numFmt w:val="bullet"/>
      <w:lvlText w:val="•"/>
      <w:lvlJc w:val="left"/>
      <w:pPr>
        <w:tabs>
          <w:tab w:val="num" w:pos="1440"/>
        </w:tabs>
        <w:ind w:left="1440" w:hanging="360"/>
      </w:pPr>
      <w:rPr>
        <w:rFonts w:ascii="Arial" w:hAnsi="Arial" w:hint="default"/>
      </w:rPr>
    </w:lvl>
    <w:lvl w:ilvl="2" w:tplc="F17CA2DC" w:tentative="1">
      <w:start w:val="1"/>
      <w:numFmt w:val="bullet"/>
      <w:lvlText w:val="•"/>
      <w:lvlJc w:val="left"/>
      <w:pPr>
        <w:tabs>
          <w:tab w:val="num" w:pos="2160"/>
        </w:tabs>
        <w:ind w:left="2160" w:hanging="360"/>
      </w:pPr>
      <w:rPr>
        <w:rFonts w:ascii="Arial" w:hAnsi="Arial" w:hint="default"/>
      </w:rPr>
    </w:lvl>
    <w:lvl w:ilvl="3" w:tplc="76D43D00" w:tentative="1">
      <w:start w:val="1"/>
      <w:numFmt w:val="bullet"/>
      <w:lvlText w:val="•"/>
      <w:lvlJc w:val="left"/>
      <w:pPr>
        <w:tabs>
          <w:tab w:val="num" w:pos="2880"/>
        </w:tabs>
        <w:ind w:left="2880" w:hanging="360"/>
      </w:pPr>
      <w:rPr>
        <w:rFonts w:ascii="Arial" w:hAnsi="Arial" w:hint="default"/>
      </w:rPr>
    </w:lvl>
    <w:lvl w:ilvl="4" w:tplc="8B281EC6" w:tentative="1">
      <w:start w:val="1"/>
      <w:numFmt w:val="bullet"/>
      <w:lvlText w:val="•"/>
      <w:lvlJc w:val="left"/>
      <w:pPr>
        <w:tabs>
          <w:tab w:val="num" w:pos="3600"/>
        </w:tabs>
        <w:ind w:left="3600" w:hanging="360"/>
      </w:pPr>
      <w:rPr>
        <w:rFonts w:ascii="Arial" w:hAnsi="Arial" w:hint="default"/>
      </w:rPr>
    </w:lvl>
    <w:lvl w:ilvl="5" w:tplc="19BCB89C" w:tentative="1">
      <w:start w:val="1"/>
      <w:numFmt w:val="bullet"/>
      <w:lvlText w:val="•"/>
      <w:lvlJc w:val="left"/>
      <w:pPr>
        <w:tabs>
          <w:tab w:val="num" w:pos="4320"/>
        </w:tabs>
        <w:ind w:left="4320" w:hanging="360"/>
      </w:pPr>
      <w:rPr>
        <w:rFonts w:ascii="Arial" w:hAnsi="Arial" w:hint="default"/>
      </w:rPr>
    </w:lvl>
    <w:lvl w:ilvl="6" w:tplc="C9D2F146" w:tentative="1">
      <w:start w:val="1"/>
      <w:numFmt w:val="bullet"/>
      <w:lvlText w:val="•"/>
      <w:lvlJc w:val="left"/>
      <w:pPr>
        <w:tabs>
          <w:tab w:val="num" w:pos="5040"/>
        </w:tabs>
        <w:ind w:left="5040" w:hanging="360"/>
      </w:pPr>
      <w:rPr>
        <w:rFonts w:ascii="Arial" w:hAnsi="Arial" w:hint="default"/>
      </w:rPr>
    </w:lvl>
    <w:lvl w:ilvl="7" w:tplc="C494DD8E" w:tentative="1">
      <w:start w:val="1"/>
      <w:numFmt w:val="bullet"/>
      <w:lvlText w:val="•"/>
      <w:lvlJc w:val="left"/>
      <w:pPr>
        <w:tabs>
          <w:tab w:val="num" w:pos="5760"/>
        </w:tabs>
        <w:ind w:left="5760" w:hanging="360"/>
      </w:pPr>
      <w:rPr>
        <w:rFonts w:ascii="Arial" w:hAnsi="Arial" w:hint="default"/>
      </w:rPr>
    </w:lvl>
    <w:lvl w:ilvl="8" w:tplc="28500A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F6E087C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4B1A82BC">
      <w:start w:val="1"/>
      <w:numFmt w:val="bullet"/>
      <w:lvlText w:val="o"/>
      <w:lvlJc w:val="left"/>
      <w:pPr>
        <w:tabs>
          <w:tab w:val="num" w:pos="1440"/>
        </w:tabs>
        <w:ind w:left="1440" w:hanging="360"/>
      </w:pPr>
      <w:rPr>
        <w:rFonts w:ascii="Arial" w:hAnsi="Arial" w:cs="Arial" w:hint="default"/>
      </w:rPr>
    </w:lvl>
    <w:lvl w:ilvl="2" w:tplc="E90CF3AE" w:tentative="1">
      <w:start w:val="1"/>
      <w:numFmt w:val="bullet"/>
      <w:lvlText w:val=""/>
      <w:lvlJc w:val="left"/>
      <w:pPr>
        <w:tabs>
          <w:tab w:val="num" w:pos="2160"/>
        </w:tabs>
        <w:ind w:left="2160" w:hanging="360"/>
      </w:pPr>
      <w:rPr>
        <w:rFonts w:ascii="Batang" w:hAnsi="Batang" w:hint="default"/>
      </w:rPr>
    </w:lvl>
    <w:lvl w:ilvl="3" w:tplc="22B280A0" w:tentative="1">
      <w:start w:val="1"/>
      <w:numFmt w:val="bullet"/>
      <w:lvlText w:val=""/>
      <w:lvlJc w:val="left"/>
      <w:pPr>
        <w:tabs>
          <w:tab w:val="num" w:pos="2880"/>
        </w:tabs>
        <w:ind w:left="2880" w:hanging="360"/>
      </w:pPr>
      <w:rPr>
        <w:rFonts w:ascii="Wingdings" w:hAnsi="Wingdings" w:hint="default"/>
      </w:rPr>
    </w:lvl>
    <w:lvl w:ilvl="4" w:tplc="DF322F02" w:tentative="1">
      <w:start w:val="1"/>
      <w:numFmt w:val="bullet"/>
      <w:lvlText w:val="o"/>
      <w:lvlJc w:val="left"/>
      <w:pPr>
        <w:tabs>
          <w:tab w:val="num" w:pos="3600"/>
        </w:tabs>
        <w:ind w:left="3600" w:hanging="360"/>
      </w:pPr>
      <w:rPr>
        <w:rFonts w:ascii="Arial" w:hAnsi="Arial" w:cs="Arial" w:hint="default"/>
      </w:rPr>
    </w:lvl>
    <w:lvl w:ilvl="5" w:tplc="D7D2402C" w:tentative="1">
      <w:start w:val="1"/>
      <w:numFmt w:val="bullet"/>
      <w:lvlText w:val=""/>
      <w:lvlJc w:val="left"/>
      <w:pPr>
        <w:tabs>
          <w:tab w:val="num" w:pos="4320"/>
        </w:tabs>
        <w:ind w:left="4320" w:hanging="360"/>
      </w:pPr>
      <w:rPr>
        <w:rFonts w:ascii="Batang" w:hAnsi="Batang" w:hint="default"/>
      </w:rPr>
    </w:lvl>
    <w:lvl w:ilvl="6" w:tplc="446C77E6" w:tentative="1">
      <w:start w:val="1"/>
      <w:numFmt w:val="bullet"/>
      <w:lvlText w:val=""/>
      <w:lvlJc w:val="left"/>
      <w:pPr>
        <w:tabs>
          <w:tab w:val="num" w:pos="5040"/>
        </w:tabs>
        <w:ind w:left="5040" w:hanging="360"/>
      </w:pPr>
      <w:rPr>
        <w:rFonts w:ascii="Wingdings" w:hAnsi="Wingdings" w:hint="default"/>
      </w:rPr>
    </w:lvl>
    <w:lvl w:ilvl="7" w:tplc="43CEA4B6" w:tentative="1">
      <w:start w:val="1"/>
      <w:numFmt w:val="bullet"/>
      <w:lvlText w:val="o"/>
      <w:lvlJc w:val="left"/>
      <w:pPr>
        <w:tabs>
          <w:tab w:val="num" w:pos="5760"/>
        </w:tabs>
        <w:ind w:left="5760" w:hanging="360"/>
      </w:pPr>
      <w:rPr>
        <w:rFonts w:ascii="Arial" w:hAnsi="Arial" w:cs="Arial" w:hint="default"/>
      </w:rPr>
    </w:lvl>
    <w:lvl w:ilvl="8" w:tplc="55225FC0" w:tentative="1">
      <w:start w:val="1"/>
      <w:numFmt w:val="bullet"/>
      <w:lvlText w:val=""/>
      <w:lvlJc w:val="left"/>
      <w:pPr>
        <w:tabs>
          <w:tab w:val="num" w:pos="6480"/>
        </w:tabs>
        <w:ind w:left="6480" w:hanging="360"/>
      </w:pPr>
      <w:rPr>
        <w:rFonts w:ascii="Batang" w:hAnsi="Batang" w:hint="default"/>
      </w:rPr>
    </w:lvl>
  </w:abstractNum>
  <w:abstractNum w:abstractNumId="2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3"/>
  </w:num>
  <w:num w:numId="3">
    <w:abstractNumId w:val="25"/>
  </w:num>
  <w:num w:numId="4">
    <w:abstractNumId w:val="9"/>
  </w:num>
  <w:num w:numId="5">
    <w:abstractNumId w:val="12"/>
  </w:num>
  <w:num w:numId="6">
    <w:abstractNumId w:val="5"/>
  </w:num>
  <w:num w:numId="7">
    <w:abstractNumId w:val="7"/>
  </w:num>
  <w:num w:numId="8">
    <w:abstractNumId w:val="22"/>
  </w:num>
  <w:num w:numId="9">
    <w:abstractNumId w:val="20"/>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2"/>
  </w:num>
  <w:num w:numId="14">
    <w:abstractNumId w:val="21"/>
  </w:num>
  <w:num w:numId="15">
    <w:abstractNumId w:val="6"/>
  </w:num>
  <w:num w:numId="16">
    <w:abstractNumId w:val="3"/>
  </w:num>
  <w:num w:numId="17">
    <w:abstractNumId w:val="16"/>
  </w:num>
  <w:num w:numId="18">
    <w:abstractNumId w:val="13"/>
  </w:num>
  <w:num w:numId="19">
    <w:abstractNumId w:val="4"/>
  </w:num>
  <w:num w:numId="20">
    <w:abstractNumId w:val="10"/>
  </w:num>
  <w:num w:numId="21">
    <w:abstractNumId w:val="11"/>
  </w:num>
  <w:num w:numId="22">
    <w:abstractNumId w:val="8"/>
  </w:num>
  <w:num w:numId="23">
    <w:abstractNumId w:val="26"/>
  </w:num>
  <w:num w:numId="24">
    <w:abstractNumId w:val="14"/>
  </w:num>
  <w:num w:numId="25">
    <w:abstractNumId w:val="1"/>
  </w:num>
  <w:num w:numId="26">
    <w:abstractNumId w:val="24"/>
  </w:num>
  <w:num w:numId="2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BD8"/>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F85"/>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206"/>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82B"/>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4F5"/>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5B68"/>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316"/>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BE4"/>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469"/>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048"/>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1FFE"/>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180"/>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0B"/>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2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180"/>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06"/>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5A5"/>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0817"/>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452"/>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6F4B"/>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46"/>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CF7FC7"/>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194"/>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AD"/>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1D"/>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EDA60"/>
  <w15:chartTrackingRefBased/>
  <w15:docId w15:val="{C0B527B1-38FC-4E76-A70B-04E145BF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6061984">
      <w:bodyDiv w:val="1"/>
      <w:marLeft w:val="0"/>
      <w:marRight w:val="0"/>
      <w:marTop w:val="0"/>
      <w:marBottom w:val="0"/>
      <w:divBdr>
        <w:top w:val="none" w:sz="0" w:space="0" w:color="auto"/>
        <w:left w:val="none" w:sz="0" w:space="0" w:color="auto"/>
        <w:bottom w:val="none" w:sz="0" w:space="0" w:color="auto"/>
        <w:right w:val="none" w:sz="0" w:space="0" w:color="auto"/>
      </w:divBdr>
      <w:divsChild>
        <w:div w:id="242420650">
          <w:marLeft w:val="360"/>
          <w:marRight w:val="0"/>
          <w:marTop w:val="200"/>
          <w:marBottom w:val="0"/>
          <w:divBdr>
            <w:top w:val="none" w:sz="0" w:space="0" w:color="auto"/>
            <w:left w:val="none" w:sz="0" w:space="0" w:color="auto"/>
            <w:bottom w:val="none" w:sz="0" w:space="0" w:color="auto"/>
            <w:right w:val="none" w:sz="0" w:space="0" w:color="auto"/>
          </w:divBdr>
        </w:div>
        <w:div w:id="326059181">
          <w:marLeft w:val="360"/>
          <w:marRight w:val="0"/>
          <w:marTop w:val="200"/>
          <w:marBottom w:val="0"/>
          <w:divBdr>
            <w:top w:val="none" w:sz="0" w:space="0" w:color="auto"/>
            <w:left w:val="none" w:sz="0" w:space="0" w:color="auto"/>
            <w:bottom w:val="none" w:sz="0" w:space="0" w:color="auto"/>
            <w:right w:val="none" w:sz="0" w:space="0" w:color="auto"/>
          </w:divBdr>
        </w:div>
        <w:div w:id="867524517">
          <w:marLeft w:val="360"/>
          <w:marRight w:val="0"/>
          <w:marTop w:val="200"/>
          <w:marBottom w:val="0"/>
          <w:divBdr>
            <w:top w:val="none" w:sz="0" w:space="0" w:color="auto"/>
            <w:left w:val="none" w:sz="0" w:space="0" w:color="auto"/>
            <w:bottom w:val="none" w:sz="0" w:space="0" w:color="auto"/>
            <w:right w:val="none" w:sz="0" w:space="0" w:color="auto"/>
          </w:divBdr>
        </w:div>
        <w:div w:id="1355157736">
          <w:marLeft w:val="360"/>
          <w:marRight w:val="0"/>
          <w:marTop w:val="20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8319194">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4856398">
      <w:bodyDiv w:val="1"/>
      <w:marLeft w:val="0"/>
      <w:marRight w:val="0"/>
      <w:marTop w:val="0"/>
      <w:marBottom w:val="0"/>
      <w:divBdr>
        <w:top w:val="none" w:sz="0" w:space="0" w:color="auto"/>
        <w:left w:val="none" w:sz="0" w:space="0" w:color="auto"/>
        <w:bottom w:val="none" w:sz="0" w:space="0" w:color="auto"/>
        <w:right w:val="none" w:sz="0" w:space="0" w:color="auto"/>
      </w:divBdr>
      <w:divsChild>
        <w:div w:id="99224407">
          <w:marLeft w:val="360"/>
          <w:marRight w:val="0"/>
          <w:marTop w:val="200"/>
          <w:marBottom w:val="0"/>
          <w:divBdr>
            <w:top w:val="none" w:sz="0" w:space="0" w:color="auto"/>
            <w:left w:val="none" w:sz="0" w:space="0" w:color="auto"/>
            <w:bottom w:val="none" w:sz="0" w:space="0" w:color="auto"/>
            <w:right w:val="none" w:sz="0" w:space="0" w:color="auto"/>
          </w:divBdr>
        </w:div>
        <w:div w:id="213808782">
          <w:marLeft w:val="360"/>
          <w:marRight w:val="0"/>
          <w:marTop w:val="200"/>
          <w:marBottom w:val="0"/>
          <w:divBdr>
            <w:top w:val="none" w:sz="0" w:space="0" w:color="auto"/>
            <w:left w:val="none" w:sz="0" w:space="0" w:color="auto"/>
            <w:bottom w:val="none" w:sz="0" w:space="0" w:color="auto"/>
            <w:right w:val="none" w:sz="0" w:space="0" w:color="auto"/>
          </w:divBdr>
        </w:div>
        <w:div w:id="1451128562">
          <w:marLeft w:val="360"/>
          <w:marRight w:val="0"/>
          <w:marTop w:val="200"/>
          <w:marBottom w:val="0"/>
          <w:divBdr>
            <w:top w:val="none" w:sz="0" w:space="0" w:color="auto"/>
            <w:left w:val="none" w:sz="0" w:space="0" w:color="auto"/>
            <w:bottom w:val="none" w:sz="0" w:space="0" w:color="auto"/>
            <w:right w:val="none" w:sz="0" w:space="0" w:color="auto"/>
          </w:divBdr>
        </w:div>
        <w:div w:id="1978215275">
          <w:marLeft w:val="360"/>
          <w:marRight w:val="0"/>
          <w:marTop w:val="2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7447798">
      <w:bodyDiv w:val="1"/>
      <w:marLeft w:val="0"/>
      <w:marRight w:val="0"/>
      <w:marTop w:val="0"/>
      <w:marBottom w:val="0"/>
      <w:divBdr>
        <w:top w:val="none" w:sz="0" w:space="0" w:color="auto"/>
        <w:left w:val="none" w:sz="0" w:space="0" w:color="auto"/>
        <w:bottom w:val="none" w:sz="0" w:space="0" w:color="auto"/>
        <w:right w:val="none" w:sz="0" w:space="0" w:color="auto"/>
      </w:divBdr>
      <w:divsChild>
        <w:div w:id="411396088">
          <w:marLeft w:val="360"/>
          <w:marRight w:val="0"/>
          <w:marTop w:val="200"/>
          <w:marBottom w:val="0"/>
          <w:divBdr>
            <w:top w:val="none" w:sz="0" w:space="0" w:color="auto"/>
            <w:left w:val="none" w:sz="0" w:space="0" w:color="auto"/>
            <w:bottom w:val="none" w:sz="0" w:space="0" w:color="auto"/>
            <w:right w:val="none" w:sz="0" w:space="0" w:color="auto"/>
          </w:divBdr>
        </w:div>
        <w:div w:id="660431447">
          <w:marLeft w:val="360"/>
          <w:marRight w:val="0"/>
          <w:marTop w:val="200"/>
          <w:marBottom w:val="0"/>
          <w:divBdr>
            <w:top w:val="none" w:sz="0" w:space="0" w:color="auto"/>
            <w:left w:val="none" w:sz="0" w:space="0" w:color="auto"/>
            <w:bottom w:val="none" w:sz="0" w:space="0" w:color="auto"/>
            <w:right w:val="none" w:sz="0" w:space="0" w:color="auto"/>
          </w:divBdr>
        </w:div>
        <w:div w:id="776633009">
          <w:marLeft w:val="1080"/>
          <w:marRight w:val="0"/>
          <w:marTop w:val="100"/>
          <w:marBottom w:val="0"/>
          <w:divBdr>
            <w:top w:val="none" w:sz="0" w:space="0" w:color="auto"/>
            <w:left w:val="none" w:sz="0" w:space="0" w:color="auto"/>
            <w:bottom w:val="none" w:sz="0" w:space="0" w:color="auto"/>
            <w:right w:val="none" w:sz="0" w:space="0" w:color="auto"/>
          </w:divBdr>
        </w:div>
        <w:div w:id="1414156931">
          <w:marLeft w:val="360"/>
          <w:marRight w:val="0"/>
          <w:marTop w:val="200"/>
          <w:marBottom w:val="0"/>
          <w:divBdr>
            <w:top w:val="none" w:sz="0" w:space="0" w:color="auto"/>
            <w:left w:val="none" w:sz="0" w:space="0" w:color="auto"/>
            <w:bottom w:val="none" w:sz="0" w:space="0" w:color="auto"/>
            <w:right w:val="none" w:sz="0" w:space="0" w:color="auto"/>
          </w:divBdr>
        </w:div>
        <w:div w:id="1428379803">
          <w:marLeft w:val="1080"/>
          <w:marRight w:val="0"/>
          <w:marTop w:val="100"/>
          <w:marBottom w:val="0"/>
          <w:divBdr>
            <w:top w:val="none" w:sz="0" w:space="0" w:color="auto"/>
            <w:left w:val="none" w:sz="0" w:space="0" w:color="auto"/>
            <w:bottom w:val="none" w:sz="0" w:space="0" w:color="auto"/>
            <w:right w:val="none" w:sz="0" w:space="0" w:color="auto"/>
          </w:divBdr>
        </w:div>
        <w:div w:id="1993218741">
          <w:marLeft w:val="360"/>
          <w:marRight w:val="0"/>
          <w:marTop w:val="20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8562035">
      <w:bodyDiv w:val="1"/>
      <w:marLeft w:val="0"/>
      <w:marRight w:val="0"/>
      <w:marTop w:val="0"/>
      <w:marBottom w:val="0"/>
      <w:divBdr>
        <w:top w:val="none" w:sz="0" w:space="0" w:color="auto"/>
        <w:left w:val="none" w:sz="0" w:space="0" w:color="auto"/>
        <w:bottom w:val="none" w:sz="0" w:space="0" w:color="auto"/>
        <w:right w:val="none" w:sz="0" w:space="0" w:color="auto"/>
      </w:divBdr>
      <w:divsChild>
        <w:div w:id="139270314">
          <w:marLeft w:val="1080"/>
          <w:marRight w:val="0"/>
          <w:marTop w:val="100"/>
          <w:marBottom w:val="0"/>
          <w:divBdr>
            <w:top w:val="none" w:sz="0" w:space="0" w:color="auto"/>
            <w:left w:val="none" w:sz="0" w:space="0" w:color="auto"/>
            <w:bottom w:val="none" w:sz="0" w:space="0" w:color="auto"/>
            <w:right w:val="none" w:sz="0" w:space="0" w:color="auto"/>
          </w:divBdr>
        </w:div>
        <w:div w:id="644698677">
          <w:marLeft w:val="360"/>
          <w:marRight w:val="0"/>
          <w:marTop w:val="200"/>
          <w:marBottom w:val="0"/>
          <w:divBdr>
            <w:top w:val="none" w:sz="0" w:space="0" w:color="auto"/>
            <w:left w:val="none" w:sz="0" w:space="0" w:color="auto"/>
            <w:bottom w:val="none" w:sz="0" w:space="0" w:color="auto"/>
            <w:right w:val="none" w:sz="0" w:space="0" w:color="auto"/>
          </w:divBdr>
        </w:div>
        <w:div w:id="702363204">
          <w:marLeft w:val="360"/>
          <w:marRight w:val="0"/>
          <w:marTop w:val="200"/>
          <w:marBottom w:val="0"/>
          <w:divBdr>
            <w:top w:val="none" w:sz="0" w:space="0" w:color="auto"/>
            <w:left w:val="none" w:sz="0" w:space="0" w:color="auto"/>
            <w:bottom w:val="none" w:sz="0" w:space="0" w:color="auto"/>
            <w:right w:val="none" w:sz="0" w:space="0" w:color="auto"/>
          </w:divBdr>
        </w:div>
        <w:div w:id="1266494804">
          <w:marLeft w:val="1080"/>
          <w:marRight w:val="0"/>
          <w:marTop w:val="100"/>
          <w:marBottom w:val="0"/>
          <w:divBdr>
            <w:top w:val="none" w:sz="0" w:space="0" w:color="auto"/>
            <w:left w:val="none" w:sz="0" w:space="0" w:color="auto"/>
            <w:bottom w:val="none" w:sz="0" w:space="0" w:color="auto"/>
            <w:right w:val="none" w:sz="0" w:space="0" w:color="auto"/>
          </w:divBdr>
        </w:div>
        <w:div w:id="1801726458">
          <w:marLeft w:val="360"/>
          <w:marRight w:val="0"/>
          <w:marTop w:val="200"/>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C30711-6241-4CDF-B81A-F86C78558637}">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C9E0D448-0557-4AD0-B2DF-81D144E8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3</cp:revision>
  <cp:lastPrinted>2009-04-22T13:01:00Z</cp:lastPrinted>
  <dcterms:created xsi:type="dcterms:W3CDTF">2018-11-01T10:26:00Z</dcterms:created>
  <dcterms:modified xsi:type="dcterms:W3CDTF">2018-11-02T16:40:00Z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